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6A52" w14:textId="77777777" w:rsidR="00C847EE" w:rsidRDefault="00C847EE" w:rsidP="00C847EE">
      <w:pPr>
        <w:rPr>
          <w:color w:val="7F7F7F"/>
          <w:lang w:val="nl-BE"/>
        </w:rPr>
      </w:pPr>
      <w:bookmarkStart w:id="0" w:name="_GoBack"/>
      <w:bookmarkEnd w:id="0"/>
    </w:p>
    <w:p w14:paraId="78DBADDE" w14:textId="77777777" w:rsidR="00C847EE" w:rsidRDefault="00C847EE" w:rsidP="00C847EE">
      <w:pPr>
        <w:rPr>
          <w:color w:val="7F7F7F"/>
          <w:lang w:val="nl-BE"/>
        </w:rPr>
      </w:pPr>
    </w:p>
    <w:p w14:paraId="1EAA14F0" w14:textId="77777777" w:rsidR="00C847EE" w:rsidRDefault="00E221AF" w:rsidP="00C847EE">
      <w:pPr>
        <w:pStyle w:val="Kop2"/>
        <w:spacing w:after="240"/>
        <w:rPr>
          <w:rFonts w:eastAsia="Times New Roman"/>
          <w:sz w:val="20"/>
          <w:szCs w:val="20"/>
          <w:lang w:val="nl-BE" w:eastAsia="nl-BE"/>
        </w:rPr>
      </w:pPr>
      <w:hyperlink r:id="rId4" w:history="1">
        <w:bookmarkStart w:id="1" w:name="_Toc419712988"/>
        <w:r w:rsidR="00C847EE">
          <w:rPr>
            <w:rStyle w:val="Hyperlink"/>
            <w:rFonts w:eastAsia="Times New Roman"/>
            <w:lang w:val="nl-BE" w:eastAsia="nl-BE"/>
          </w:rPr>
          <w:t>DEEL 6bis.</w:t>
        </w:r>
      </w:hyperlink>
      <w:r w:rsidR="00C847EE">
        <w:rPr>
          <w:rFonts w:eastAsia="Times New Roman"/>
          <w:lang w:val="nl-BE" w:eastAsia="nl-BE"/>
        </w:rPr>
        <w:t xml:space="preserve"> De vervulling van een vacature door externe personeelsmobiliteit</w:t>
      </w:r>
      <w:bookmarkEnd w:id="1"/>
    </w:p>
    <w:p w14:paraId="7DF1F541" w14:textId="77777777" w:rsidR="00C847EE" w:rsidRDefault="00E221AF" w:rsidP="00C847EE">
      <w:pPr>
        <w:pStyle w:val="Kop3"/>
        <w:spacing w:after="240"/>
        <w:jc w:val="left"/>
        <w:rPr>
          <w:rFonts w:ascii="Verdana" w:eastAsia="Times New Roman" w:hAnsi="Verdana"/>
          <w:i w:val="0"/>
          <w:iCs w:val="0"/>
          <w:sz w:val="20"/>
          <w:szCs w:val="20"/>
          <w:lang w:val="nl-BE" w:eastAsia="nl-BE"/>
        </w:rPr>
      </w:pPr>
      <w:hyperlink r:id="rId5" w:history="1">
        <w:bookmarkStart w:id="2" w:name="_Toc419712989"/>
        <w:r w:rsidR="00C847EE">
          <w:rPr>
            <w:rStyle w:val="Hyperlink"/>
            <w:rFonts w:eastAsia="Times New Roman"/>
            <w:i w:val="0"/>
            <w:iCs w:val="0"/>
            <w:sz w:val="20"/>
            <w:szCs w:val="20"/>
            <w:lang w:val="nl-BE" w:eastAsia="nl-BE"/>
          </w:rPr>
          <w:t>Afdeling I.</w:t>
        </w:r>
      </w:hyperlink>
      <w:r w:rsidR="00C847EE">
        <w:rPr>
          <w:rFonts w:ascii="Verdana" w:eastAsia="Times New Roman" w:hAnsi="Verdana"/>
          <w:i w:val="0"/>
          <w:iCs w:val="0"/>
          <w:sz w:val="20"/>
          <w:szCs w:val="20"/>
          <w:lang w:val="nl-BE" w:eastAsia="nl-BE"/>
        </w:rPr>
        <w:t xml:space="preserve"> Algemene bepalingen</w:t>
      </w:r>
      <w:bookmarkEnd w:id="2"/>
    </w:p>
    <w:p w14:paraId="465AB60D" w14:textId="77777777" w:rsidR="00C847EE" w:rsidRDefault="00C847EE" w:rsidP="00C847EE">
      <w:pPr>
        <w:pStyle w:val="Plattetekst2"/>
        <w:spacing w:after="0" w:line="240" w:lineRule="auto"/>
        <w:rPr>
          <w:rFonts w:ascii="Verdana" w:hAnsi="Verdana"/>
          <w:b/>
          <w:bCs/>
          <w:lang w:val="nl-BE"/>
        </w:rPr>
      </w:pPr>
      <w:r>
        <w:rPr>
          <w:rFonts w:ascii="Verdana" w:hAnsi="Verdana"/>
          <w:b/>
          <w:bCs/>
          <w:lang w:val="nl-BE"/>
        </w:rPr>
        <w:t>Artikel 134-sexies. Definitie, toepassingsgebied en procedure</w:t>
      </w:r>
    </w:p>
    <w:p w14:paraId="2106D8E1" w14:textId="77777777" w:rsidR="00C847EE" w:rsidRDefault="00C847EE" w:rsidP="00C847EE">
      <w:pPr>
        <w:rPr>
          <w:rFonts w:ascii="Verdana" w:hAnsi="Verdana"/>
          <w:lang w:val="nl-BE"/>
        </w:rPr>
      </w:pPr>
    </w:p>
    <w:p w14:paraId="1EBB0682" w14:textId="77777777" w:rsidR="00C847EE" w:rsidRPr="00BD68CC" w:rsidRDefault="00C847EE" w:rsidP="00C847EE">
      <w:pPr>
        <w:pStyle w:val="Plattetekst2"/>
        <w:spacing w:after="0" w:line="240" w:lineRule="auto"/>
        <w:rPr>
          <w:rFonts w:ascii="Verdana" w:hAnsi="Verdana"/>
          <w:lang w:val="nl-BE"/>
        </w:rPr>
      </w:pPr>
      <w:r w:rsidRPr="00BD68CC">
        <w:rPr>
          <w:rFonts w:ascii="Verdana" w:hAnsi="Verdana"/>
          <w:lang w:val="nl-BE"/>
        </w:rPr>
        <w:t xml:space="preserve">§1. Definitie </w:t>
      </w:r>
    </w:p>
    <w:p w14:paraId="07F569BE" w14:textId="77777777" w:rsidR="00C847EE" w:rsidRPr="00BD68CC" w:rsidRDefault="00C847EE" w:rsidP="00C847EE">
      <w:pPr>
        <w:pStyle w:val="Plattetekst2"/>
        <w:spacing w:after="0" w:line="240" w:lineRule="auto"/>
        <w:jc w:val="both"/>
        <w:rPr>
          <w:rFonts w:ascii="Verdana" w:hAnsi="Verdana"/>
          <w:lang w:val="nl-BE"/>
        </w:rPr>
      </w:pPr>
      <w:r w:rsidRPr="00BD68CC">
        <w:rPr>
          <w:rFonts w:ascii="Verdana" w:hAnsi="Verdana"/>
          <w:lang w:val="nl-BE"/>
        </w:rPr>
        <w:t>Bij de procedure van externe personeelsmobiliteit tussen lokale overheden met hetzelfde werkingsgebied worden niet alleen personeelsleden in dienst bij de eigen overheid uitgenodigd om zich kandidaat te stellen voor de vacante betrekking, maar ook personeelsleden van de andere overheid of overheden binnen hetzelfde werkingsgebied.</w:t>
      </w:r>
    </w:p>
    <w:p w14:paraId="6CE6608F" w14:textId="77777777" w:rsidR="00C847EE" w:rsidRPr="00BD68CC" w:rsidRDefault="00C847EE" w:rsidP="00C847EE">
      <w:pPr>
        <w:pStyle w:val="Plattetekst2"/>
        <w:spacing w:after="0" w:line="240" w:lineRule="auto"/>
        <w:jc w:val="both"/>
        <w:rPr>
          <w:rFonts w:ascii="Verdana" w:hAnsi="Verdana"/>
          <w:lang w:val="nl-BE"/>
        </w:rPr>
      </w:pPr>
    </w:p>
    <w:p w14:paraId="5D13332D" w14:textId="77777777" w:rsidR="00C847EE" w:rsidRPr="00BD68CC" w:rsidRDefault="00C847EE" w:rsidP="00C847EE">
      <w:pPr>
        <w:autoSpaceDE w:val="0"/>
        <w:autoSpaceDN w:val="0"/>
        <w:jc w:val="both"/>
        <w:rPr>
          <w:rFonts w:ascii="Verdana" w:hAnsi="Verdana"/>
          <w:sz w:val="20"/>
          <w:szCs w:val="20"/>
          <w:lang w:eastAsia="nl-BE"/>
        </w:rPr>
      </w:pPr>
      <w:r w:rsidRPr="00BD68CC">
        <w:rPr>
          <w:rFonts w:ascii="Verdana" w:hAnsi="Verdana"/>
          <w:sz w:val="20"/>
          <w:szCs w:val="20"/>
          <w:lang w:val="nl-BE" w:eastAsia="nl-BE"/>
        </w:rPr>
        <w:t>§2. Toepassingsgebied</w:t>
      </w:r>
    </w:p>
    <w:p w14:paraId="449F2E79" w14:textId="77777777" w:rsidR="00C847EE" w:rsidRPr="00BD68CC" w:rsidRDefault="00C847EE" w:rsidP="00C847EE">
      <w:pPr>
        <w:autoSpaceDE w:val="0"/>
        <w:autoSpaceDN w:val="0"/>
        <w:jc w:val="both"/>
        <w:rPr>
          <w:rFonts w:ascii="Verdana" w:hAnsi="Verdana"/>
          <w:sz w:val="20"/>
          <w:szCs w:val="20"/>
          <w:lang w:val="nl-BE" w:eastAsia="nl-BE"/>
        </w:rPr>
      </w:pPr>
      <w:r w:rsidRPr="00BD68CC">
        <w:rPr>
          <w:rFonts w:ascii="Verdana" w:hAnsi="Verdana"/>
          <w:sz w:val="20"/>
          <w:szCs w:val="20"/>
          <w:lang w:val="nl-BE" w:eastAsia="nl-BE"/>
        </w:rPr>
        <w:t xml:space="preserve">In toepassing van hoofdstuk 2 van het besluit van de Vlaamse Regering van 20 mei 2011 betreffende de externe personeelsmobiliteit, </w:t>
      </w:r>
      <w:r w:rsidR="00B330F6">
        <w:rPr>
          <w:rFonts w:ascii="Verdana" w:hAnsi="Verdana"/>
          <w:sz w:val="20"/>
          <w:szCs w:val="20"/>
          <w:lang w:val="nl-BE" w:eastAsia="nl-BE"/>
        </w:rPr>
        <w:t xml:space="preserve">zal </w:t>
      </w:r>
      <w:r w:rsidRPr="00BD68CC">
        <w:rPr>
          <w:rFonts w:ascii="Verdana" w:hAnsi="Verdana"/>
          <w:sz w:val="20"/>
          <w:szCs w:val="20"/>
          <w:lang w:val="nl-BE" w:eastAsia="nl-BE"/>
        </w:rPr>
        <w:t xml:space="preserve">de aanstellende overheid bij de vacant verklaring van een functie </w:t>
      </w:r>
      <w:r w:rsidR="00B330F6">
        <w:rPr>
          <w:rFonts w:ascii="Verdana" w:hAnsi="Verdana"/>
          <w:sz w:val="20"/>
          <w:szCs w:val="20"/>
          <w:lang w:val="nl-BE" w:eastAsia="nl-BE"/>
        </w:rPr>
        <w:t>via bevordering of interne mobiliteit telkens</w:t>
      </w:r>
      <w:r w:rsidRPr="00BD68CC">
        <w:rPr>
          <w:rFonts w:ascii="Verdana" w:hAnsi="Verdana"/>
          <w:sz w:val="20"/>
          <w:szCs w:val="20"/>
          <w:lang w:val="nl-BE" w:eastAsia="nl-BE"/>
        </w:rPr>
        <w:t xml:space="preserve"> gebruik maken van de mogelijkheid tot externe personeelsmobiliteit tussen </w:t>
      </w:r>
      <w:r w:rsidR="00B25975">
        <w:rPr>
          <w:rFonts w:ascii="Verdana" w:hAnsi="Verdana"/>
          <w:sz w:val="20"/>
          <w:szCs w:val="20"/>
          <w:lang w:val="nl-BE" w:eastAsia="nl-BE"/>
        </w:rPr>
        <w:t>Gemeente en OCMW</w:t>
      </w:r>
      <w:r w:rsidRPr="00BD68CC">
        <w:rPr>
          <w:rFonts w:ascii="Verdana" w:hAnsi="Verdana"/>
          <w:sz w:val="20"/>
          <w:szCs w:val="20"/>
          <w:lang w:val="nl-BE" w:eastAsia="nl-BE"/>
        </w:rPr>
        <w:t>.</w:t>
      </w:r>
    </w:p>
    <w:p w14:paraId="29C6ABBB" w14:textId="77777777" w:rsidR="00C847EE" w:rsidRPr="00BD68CC" w:rsidRDefault="00C847EE" w:rsidP="00C847EE">
      <w:pPr>
        <w:autoSpaceDE w:val="0"/>
        <w:autoSpaceDN w:val="0"/>
        <w:jc w:val="both"/>
        <w:rPr>
          <w:rFonts w:ascii="Verdana" w:hAnsi="Verdana"/>
          <w:sz w:val="20"/>
          <w:szCs w:val="20"/>
          <w:lang w:val="nl-BE" w:eastAsia="nl-BE"/>
        </w:rPr>
      </w:pPr>
    </w:p>
    <w:p w14:paraId="45B6DB42" w14:textId="77777777" w:rsidR="00C847EE" w:rsidRPr="00BD68CC" w:rsidRDefault="00C847EE" w:rsidP="00C847EE">
      <w:pPr>
        <w:autoSpaceDE w:val="0"/>
        <w:autoSpaceDN w:val="0"/>
        <w:jc w:val="both"/>
        <w:rPr>
          <w:rFonts w:ascii="Verdana" w:hAnsi="Verdana"/>
          <w:sz w:val="20"/>
          <w:szCs w:val="20"/>
          <w:lang w:val="nl-BE" w:eastAsia="nl-BE"/>
        </w:rPr>
      </w:pPr>
      <w:r w:rsidRPr="00BD68CC">
        <w:rPr>
          <w:rFonts w:ascii="Verdana" w:hAnsi="Verdana"/>
          <w:sz w:val="20"/>
          <w:szCs w:val="20"/>
          <w:lang w:val="nl-BE" w:eastAsia="nl-BE"/>
        </w:rPr>
        <w:t>§3. Procedure</w:t>
      </w:r>
    </w:p>
    <w:p w14:paraId="130640E8" w14:textId="77777777" w:rsidR="00C847EE" w:rsidRPr="00BD68CC" w:rsidRDefault="00C847EE" w:rsidP="00C847EE">
      <w:pPr>
        <w:autoSpaceDE w:val="0"/>
        <w:autoSpaceDN w:val="0"/>
        <w:jc w:val="both"/>
        <w:rPr>
          <w:rFonts w:ascii="Verdana" w:hAnsi="Verdana"/>
          <w:sz w:val="20"/>
          <w:szCs w:val="20"/>
          <w:lang w:val="nl-BE" w:eastAsia="nl-BE"/>
        </w:rPr>
      </w:pPr>
      <w:r w:rsidRPr="00BD68CC">
        <w:rPr>
          <w:rFonts w:ascii="Verdana" w:hAnsi="Verdana"/>
          <w:sz w:val="20"/>
          <w:szCs w:val="20"/>
          <w:lang w:val="nl-BE" w:eastAsia="nl-BE"/>
        </w:rPr>
        <w:t xml:space="preserve">De voorwaarden en de procedures van toepassing bij interne mobiliteit en bij bevordering in deze rechtspositieregeling zijn van toepassing indien de aanstellende overheid een beroep doet op kandidaten van een andere overheid. </w:t>
      </w:r>
    </w:p>
    <w:p w14:paraId="71F4B428" w14:textId="77777777" w:rsidR="00C847EE" w:rsidRPr="00BD68CC" w:rsidRDefault="00C847EE" w:rsidP="00C847EE">
      <w:pPr>
        <w:autoSpaceDE w:val="0"/>
        <w:autoSpaceDN w:val="0"/>
        <w:jc w:val="both"/>
        <w:rPr>
          <w:rFonts w:ascii="Verdana" w:hAnsi="Verdana"/>
          <w:sz w:val="20"/>
          <w:szCs w:val="20"/>
          <w:lang w:val="nl-BE" w:eastAsia="nl-BE"/>
        </w:rPr>
      </w:pPr>
    </w:p>
    <w:p w14:paraId="53B0655B" w14:textId="77777777" w:rsidR="00C847EE" w:rsidRPr="00BD68CC" w:rsidRDefault="00C847EE" w:rsidP="00C847EE">
      <w:pPr>
        <w:pStyle w:val="Plattetekst2"/>
        <w:spacing w:after="0" w:line="240" w:lineRule="auto"/>
        <w:jc w:val="both"/>
        <w:rPr>
          <w:rFonts w:ascii="Verdana" w:hAnsi="Verdana"/>
          <w:lang w:val="nl-BE"/>
        </w:rPr>
      </w:pPr>
    </w:p>
    <w:p w14:paraId="312D3398" w14:textId="77777777" w:rsidR="00C847EE" w:rsidRPr="00BD68CC" w:rsidRDefault="00C847EE" w:rsidP="00C847EE">
      <w:pPr>
        <w:pStyle w:val="Plattetekst2"/>
        <w:spacing w:after="0" w:line="240" w:lineRule="auto"/>
        <w:rPr>
          <w:rFonts w:ascii="Verdana" w:hAnsi="Verdana"/>
          <w:b/>
          <w:bCs/>
          <w:lang w:val="nl-BE"/>
        </w:rPr>
      </w:pPr>
      <w:r w:rsidRPr="00BD68CC">
        <w:rPr>
          <w:rFonts w:ascii="Verdana" w:hAnsi="Verdana"/>
          <w:b/>
          <w:bCs/>
          <w:lang w:val="nl-BE"/>
        </w:rPr>
        <w:t>Artikel 134-septies. Gezamenlijke selecties en opstellen gemeenschappelijke wer</w:t>
      </w:r>
      <w:r w:rsidR="001A6291">
        <w:rPr>
          <w:rFonts w:ascii="Verdana" w:hAnsi="Verdana"/>
          <w:b/>
          <w:bCs/>
          <w:lang w:val="nl-BE"/>
        </w:rPr>
        <w:t>vings- en bevorderings</w:t>
      </w:r>
      <w:r w:rsidRPr="00BD68CC">
        <w:rPr>
          <w:rFonts w:ascii="Verdana" w:hAnsi="Verdana"/>
          <w:b/>
          <w:bCs/>
          <w:lang w:val="nl-BE"/>
        </w:rPr>
        <w:t>reserves</w:t>
      </w:r>
    </w:p>
    <w:p w14:paraId="2E211866" w14:textId="77777777" w:rsidR="00C847EE" w:rsidRPr="00BD68CC" w:rsidRDefault="00C847EE" w:rsidP="00C847EE">
      <w:pPr>
        <w:autoSpaceDE w:val="0"/>
        <w:autoSpaceDN w:val="0"/>
        <w:jc w:val="both"/>
        <w:rPr>
          <w:rFonts w:ascii="Verdana" w:hAnsi="Verdana"/>
          <w:sz w:val="20"/>
          <w:szCs w:val="20"/>
          <w:lang w:eastAsia="nl-BE"/>
        </w:rPr>
      </w:pPr>
    </w:p>
    <w:p w14:paraId="46B1D426" w14:textId="77777777" w:rsidR="00C847EE" w:rsidRPr="00BD68CC" w:rsidRDefault="00C847EE" w:rsidP="00C847EE">
      <w:pPr>
        <w:autoSpaceDE w:val="0"/>
        <w:autoSpaceDN w:val="0"/>
        <w:jc w:val="both"/>
        <w:rPr>
          <w:rFonts w:ascii="Verdana" w:hAnsi="Verdana"/>
          <w:sz w:val="20"/>
          <w:szCs w:val="20"/>
          <w:lang w:val="nl-BE" w:eastAsia="nl-BE"/>
        </w:rPr>
      </w:pPr>
      <w:r w:rsidRPr="00BD68CC">
        <w:rPr>
          <w:rFonts w:ascii="Verdana" w:hAnsi="Verdana"/>
          <w:sz w:val="20"/>
          <w:szCs w:val="20"/>
          <w:lang w:val="nl-BE" w:eastAsia="nl-BE"/>
        </w:rPr>
        <w:t>§1.</w:t>
      </w:r>
    </w:p>
    <w:p w14:paraId="2F24A081" w14:textId="77777777" w:rsidR="00C847EE" w:rsidRPr="00BD68CC" w:rsidRDefault="00C847EE" w:rsidP="00C847EE">
      <w:pPr>
        <w:autoSpaceDE w:val="0"/>
        <w:autoSpaceDN w:val="0"/>
        <w:jc w:val="both"/>
        <w:rPr>
          <w:rFonts w:ascii="Verdana" w:hAnsi="Verdana"/>
          <w:sz w:val="20"/>
          <w:szCs w:val="20"/>
          <w:lang w:val="nl-BE" w:eastAsia="nl-BE"/>
        </w:rPr>
      </w:pPr>
      <w:r w:rsidRPr="00BD68CC">
        <w:rPr>
          <w:rFonts w:ascii="Verdana" w:hAnsi="Verdana"/>
          <w:sz w:val="20"/>
          <w:szCs w:val="20"/>
          <w:lang w:val="nl-BE" w:eastAsia="nl-BE"/>
        </w:rPr>
        <w:t xml:space="preserve">In toepassing van hoofdstuk 3 van het besluit van de Vlaamse Regering van 20 mei 2011 betreffende de externe personeelsmobiliteit, </w:t>
      </w:r>
      <w:r w:rsidR="00726832">
        <w:rPr>
          <w:rFonts w:ascii="Verdana" w:hAnsi="Verdana"/>
          <w:sz w:val="20"/>
          <w:szCs w:val="20"/>
          <w:lang w:val="nl-BE" w:eastAsia="nl-BE"/>
        </w:rPr>
        <w:t>zijn selecties e</w:t>
      </w:r>
      <w:r w:rsidRPr="00BD68CC">
        <w:rPr>
          <w:rFonts w:ascii="Verdana" w:hAnsi="Verdana"/>
          <w:sz w:val="20"/>
          <w:szCs w:val="20"/>
          <w:lang w:val="nl-BE" w:eastAsia="nl-BE"/>
        </w:rPr>
        <w:t>n wervings</w:t>
      </w:r>
      <w:r w:rsidR="00726832">
        <w:rPr>
          <w:rFonts w:ascii="Verdana" w:hAnsi="Verdana"/>
          <w:sz w:val="20"/>
          <w:szCs w:val="20"/>
          <w:lang w:val="nl-BE" w:eastAsia="nl-BE"/>
        </w:rPr>
        <w:t>- en bevorderings</w:t>
      </w:r>
      <w:r w:rsidRPr="00BD68CC">
        <w:rPr>
          <w:rFonts w:ascii="Verdana" w:hAnsi="Verdana"/>
          <w:sz w:val="20"/>
          <w:szCs w:val="20"/>
          <w:lang w:val="nl-BE" w:eastAsia="nl-BE"/>
        </w:rPr>
        <w:t xml:space="preserve">reserves </w:t>
      </w:r>
      <w:r w:rsidR="00726832">
        <w:rPr>
          <w:rFonts w:ascii="Verdana" w:hAnsi="Verdana"/>
          <w:sz w:val="20"/>
          <w:szCs w:val="20"/>
          <w:lang w:val="nl-BE" w:eastAsia="nl-BE"/>
        </w:rPr>
        <w:t xml:space="preserve">gemeenschappelijk </w:t>
      </w:r>
      <w:r w:rsidRPr="00BD68CC">
        <w:rPr>
          <w:rFonts w:ascii="Verdana" w:hAnsi="Verdana"/>
          <w:sz w:val="20"/>
          <w:szCs w:val="20"/>
          <w:lang w:val="nl-BE" w:eastAsia="nl-BE"/>
        </w:rPr>
        <w:t>tussen Gemeente</w:t>
      </w:r>
      <w:r w:rsidR="002D0C8D">
        <w:rPr>
          <w:rFonts w:ascii="Verdana" w:hAnsi="Verdana"/>
          <w:sz w:val="20"/>
          <w:szCs w:val="20"/>
          <w:lang w:val="nl-BE" w:eastAsia="nl-BE"/>
        </w:rPr>
        <w:t xml:space="preserve"> en</w:t>
      </w:r>
      <w:r w:rsidRPr="00BD68CC">
        <w:rPr>
          <w:rFonts w:ascii="Verdana" w:hAnsi="Verdana"/>
          <w:sz w:val="20"/>
          <w:szCs w:val="20"/>
          <w:lang w:val="nl-BE" w:eastAsia="nl-BE"/>
        </w:rPr>
        <w:t xml:space="preserve"> OCMW</w:t>
      </w:r>
      <w:r w:rsidR="00726832">
        <w:rPr>
          <w:rFonts w:ascii="Verdana" w:hAnsi="Verdana"/>
          <w:sz w:val="20"/>
          <w:szCs w:val="20"/>
          <w:lang w:val="nl-BE" w:eastAsia="nl-BE"/>
        </w:rPr>
        <w:t xml:space="preserve"> voor graden die bij beide besturen voorkomen</w:t>
      </w:r>
      <w:r w:rsidRPr="00BD68CC">
        <w:rPr>
          <w:rFonts w:ascii="Verdana" w:hAnsi="Verdana"/>
          <w:sz w:val="20"/>
          <w:szCs w:val="20"/>
          <w:lang w:val="nl-BE" w:eastAsia="nl-BE"/>
        </w:rPr>
        <w:t>.</w:t>
      </w:r>
      <w:r w:rsidR="00726832">
        <w:rPr>
          <w:rFonts w:ascii="Verdana" w:hAnsi="Verdana"/>
          <w:sz w:val="20"/>
          <w:szCs w:val="20"/>
          <w:lang w:val="nl-BE" w:eastAsia="nl-BE"/>
        </w:rPr>
        <w:t xml:space="preserve"> </w:t>
      </w:r>
    </w:p>
    <w:p w14:paraId="2B2E4184" w14:textId="77777777" w:rsidR="00C847EE" w:rsidRPr="00BD68CC" w:rsidRDefault="00C847EE" w:rsidP="00C847EE">
      <w:pPr>
        <w:autoSpaceDE w:val="0"/>
        <w:autoSpaceDN w:val="0"/>
        <w:jc w:val="both"/>
        <w:rPr>
          <w:rFonts w:ascii="Verdana" w:hAnsi="Verdana"/>
          <w:sz w:val="20"/>
          <w:szCs w:val="20"/>
          <w:lang w:val="nl-BE" w:eastAsia="nl-BE"/>
        </w:rPr>
      </w:pPr>
    </w:p>
    <w:p w14:paraId="289437D3" w14:textId="77777777" w:rsidR="00C847EE" w:rsidRPr="00BD68CC" w:rsidRDefault="00C847EE" w:rsidP="00C847EE">
      <w:pPr>
        <w:autoSpaceDE w:val="0"/>
        <w:autoSpaceDN w:val="0"/>
        <w:jc w:val="both"/>
        <w:rPr>
          <w:rFonts w:ascii="Verdana" w:hAnsi="Verdana"/>
          <w:sz w:val="20"/>
          <w:szCs w:val="20"/>
          <w:lang w:val="nl-BE" w:eastAsia="nl-BE"/>
        </w:rPr>
      </w:pPr>
      <w:r w:rsidRPr="00BD68CC">
        <w:rPr>
          <w:rFonts w:ascii="Verdana" w:hAnsi="Verdana"/>
          <w:sz w:val="20"/>
          <w:szCs w:val="20"/>
          <w:lang w:val="nl-BE" w:eastAsia="nl-BE"/>
        </w:rPr>
        <w:t xml:space="preserve">§2. </w:t>
      </w:r>
    </w:p>
    <w:p w14:paraId="592E6F72" w14:textId="77777777" w:rsidR="00C847EE" w:rsidRPr="00BD68CC" w:rsidRDefault="00C847EE" w:rsidP="00C847EE">
      <w:pPr>
        <w:autoSpaceDE w:val="0"/>
        <w:autoSpaceDN w:val="0"/>
        <w:jc w:val="both"/>
        <w:rPr>
          <w:rFonts w:ascii="Verdana" w:hAnsi="Verdana"/>
          <w:sz w:val="20"/>
          <w:szCs w:val="20"/>
          <w:lang w:val="nl-BE" w:eastAsia="nl-BE"/>
        </w:rPr>
      </w:pPr>
      <w:r w:rsidRPr="00BD68CC">
        <w:rPr>
          <w:rFonts w:ascii="Verdana" w:hAnsi="Verdana"/>
          <w:sz w:val="20"/>
          <w:szCs w:val="20"/>
          <w:lang w:val="nl-BE" w:eastAsia="nl-BE"/>
        </w:rPr>
        <w:t xml:space="preserve">De bepalingen van </w:t>
      </w:r>
      <w:r w:rsidR="005D3256">
        <w:rPr>
          <w:rFonts w:ascii="Verdana" w:hAnsi="Verdana"/>
          <w:sz w:val="20"/>
          <w:szCs w:val="20"/>
          <w:lang w:val="nl-BE" w:eastAsia="nl-BE"/>
        </w:rPr>
        <w:t>“</w:t>
      </w:r>
      <w:r w:rsidRPr="00BD68CC">
        <w:rPr>
          <w:rFonts w:ascii="Verdana" w:hAnsi="Verdana"/>
          <w:sz w:val="20"/>
          <w:szCs w:val="20"/>
          <w:lang w:val="nl-BE" w:eastAsia="nl-BE"/>
        </w:rPr>
        <w:t>Titel II</w:t>
      </w:r>
      <w:r w:rsidR="005D3256">
        <w:rPr>
          <w:rFonts w:ascii="Verdana" w:hAnsi="Verdana"/>
          <w:sz w:val="20"/>
          <w:szCs w:val="20"/>
          <w:lang w:val="nl-BE" w:eastAsia="nl-BE"/>
        </w:rPr>
        <w:t xml:space="preserve"> INDIENSTTREDING</w:t>
      </w:r>
      <w:r w:rsidRPr="00BD68CC">
        <w:rPr>
          <w:rFonts w:ascii="Verdana" w:hAnsi="Verdana"/>
          <w:sz w:val="20"/>
          <w:szCs w:val="20"/>
          <w:lang w:val="nl-BE" w:eastAsia="nl-BE"/>
        </w:rPr>
        <w:t xml:space="preserve">, </w:t>
      </w:r>
      <w:r w:rsidR="005D3256">
        <w:rPr>
          <w:rFonts w:ascii="Verdana" w:hAnsi="Verdana"/>
          <w:sz w:val="20"/>
          <w:szCs w:val="20"/>
          <w:lang w:val="nl-BE" w:eastAsia="nl-BE"/>
        </w:rPr>
        <w:t>Deel 2</w:t>
      </w:r>
      <w:r w:rsidRPr="00BD68CC">
        <w:rPr>
          <w:rFonts w:ascii="Verdana" w:hAnsi="Verdana"/>
          <w:sz w:val="20"/>
          <w:szCs w:val="20"/>
          <w:lang w:val="nl-BE" w:eastAsia="nl-BE"/>
        </w:rPr>
        <w:t xml:space="preserve"> De </w:t>
      </w:r>
      <w:r w:rsidR="005D3256">
        <w:rPr>
          <w:rFonts w:ascii="Verdana" w:hAnsi="Verdana"/>
          <w:sz w:val="20"/>
          <w:szCs w:val="20"/>
          <w:lang w:val="nl-BE" w:eastAsia="nl-BE"/>
        </w:rPr>
        <w:t>aanwerving</w:t>
      </w:r>
      <w:r w:rsidRPr="00BD68CC">
        <w:rPr>
          <w:rFonts w:ascii="Verdana" w:hAnsi="Verdana"/>
          <w:sz w:val="20"/>
          <w:szCs w:val="20"/>
          <w:lang w:val="nl-BE" w:eastAsia="nl-BE"/>
        </w:rPr>
        <w:t xml:space="preserve">, afdeling </w:t>
      </w:r>
      <w:r w:rsidR="001A6291">
        <w:rPr>
          <w:rFonts w:ascii="Verdana" w:hAnsi="Verdana"/>
          <w:sz w:val="20"/>
          <w:szCs w:val="20"/>
          <w:lang w:val="nl-BE" w:eastAsia="nl-BE"/>
        </w:rPr>
        <w:t>3</w:t>
      </w:r>
      <w:r w:rsidRPr="00BD68CC">
        <w:rPr>
          <w:rFonts w:ascii="Verdana" w:hAnsi="Verdana"/>
          <w:sz w:val="20"/>
          <w:szCs w:val="20"/>
          <w:lang w:val="nl-BE" w:eastAsia="nl-BE"/>
        </w:rPr>
        <w:t xml:space="preserve"> </w:t>
      </w:r>
      <w:r w:rsidR="005D3256">
        <w:rPr>
          <w:rFonts w:ascii="Verdana" w:hAnsi="Verdana"/>
          <w:sz w:val="20"/>
          <w:szCs w:val="20"/>
          <w:lang w:val="nl-BE" w:eastAsia="nl-BE"/>
        </w:rPr>
        <w:t>De selectieprocedure</w:t>
      </w:r>
      <w:r w:rsidR="001A6291">
        <w:rPr>
          <w:rFonts w:ascii="Verdana" w:hAnsi="Verdana"/>
          <w:sz w:val="20"/>
          <w:szCs w:val="20"/>
          <w:lang w:val="nl-BE" w:eastAsia="nl-BE"/>
        </w:rPr>
        <w:t>” en “Titel III LOOPBAAN, Deel 5, Afdeling 2 Selectie</w:t>
      </w:r>
      <w:r w:rsidR="005D3256">
        <w:rPr>
          <w:rFonts w:ascii="Verdana" w:hAnsi="Verdana"/>
          <w:sz w:val="20"/>
          <w:szCs w:val="20"/>
          <w:lang w:val="nl-BE" w:eastAsia="nl-BE"/>
        </w:rPr>
        <w:t>”</w:t>
      </w:r>
      <w:r w:rsidRPr="00BD68CC">
        <w:rPr>
          <w:rFonts w:ascii="Verdana" w:hAnsi="Verdana"/>
          <w:sz w:val="20"/>
          <w:szCs w:val="20"/>
          <w:lang w:val="nl-BE" w:eastAsia="nl-BE"/>
        </w:rPr>
        <w:t xml:space="preserve"> van deze rechtspositieregeling zijn eveneens van toepassing op de gemeenschappelijke wervings</w:t>
      </w:r>
      <w:r w:rsidR="001A6291">
        <w:rPr>
          <w:rFonts w:ascii="Verdana" w:hAnsi="Verdana"/>
          <w:sz w:val="20"/>
          <w:szCs w:val="20"/>
          <w:lang w:val="nl-BE" w:eastAsia="nl-BE"/>
        </w:rPr>
        <w:t>- en bevorderings</w:t>
      </w:r>
      <w:r w:rsidRPr="00BD68CC">
        <w:rPr>
          <w:rFonts w:ascii="Verdana" w:hAnsi="Verdana"/>
          <w:sz w:val="20"/>
          <w:szCs w:val="20"/>
          <w:lang w:val="nl-BE" w:eastAsia="nl-BE"/>
        </w:rPr>
        <w:t>reserves die aangelegd worden.</w:t>
      </w:r>
    </w:p>
    <w:p w14:paraId="6576416D" w14:textId="77777777" w:rsidR="00C847EE" w:rsidRDefault="00C847EE" w:rsidP="00C847EE">
      <w:pPr>
        <w:rPr>
          <w:color w:val="7F7F7F"/>
          <w:lang w:val="nl-BE"/>
        </w:rPr>
      </w:pPr>
    </w:p>
    <w:p w14:paraId="04B8EAB6" w14:textId="77777777" w:rsidR="00C847EE" w:rsidRDefault="00C847EE" w:rsidP="00C847EE">
      <w:pPr>
        <w:rPr>
          <w:color w:val="7F7F7F"/>
          <w:lang w:val="nl-BE"/>
        </w:rPr>
      </w:pPr>
    </w:p>
    <w:p w14:paraId="4511021D" w14:textId="77777777" w:rsidR="006204AA" w:rsidRDefault="00E221AF"/>
    <w:sectPr w:rsidR="0062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EE"/>
    <w:rsid w:val="001A6291"/>
    <w:rsid w:val="002D0C8D"/>
    <w:rsid w:val="00304E14"/>
    <w:rsid w:val="005D3256"/>
    <w:rsid w:val="00726832"/>
    <w:rsid w:val="00791676"/>
    <w:rsid w:val="00B25975"/>
    <w:rsid w:val="00B330F6"/>
    <w:rsid w:val="00BD68CC"/>
    <w:rsid w:val="00C847EE"/>
    <w:rsid w:val="00DF7AD9"/>
    <w:rsid w:val="00E22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4BB5"/>
  <w15:chartTrackingRefBased/>
  <w15:docId w15:val="{BB55BAE3-F745-4B9A-A002-8607623C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47EE"/>
    <w:pPr>
      <w:spacing w:after="0" w:line="240" w:lineRule="auto"/>
    </w:pPr>
    <w:rPr>
      <w:rFonts w:ascii="Calibri" w:hAnsi="Calibri" w:cs="Calibri"/>
    </w:rPr>
  </w:style>
  <w:style w:type="paragraph" w:styleId="Kop2">
    <w:name w:val="heading 2"/>
    <w:basedOn w:val="Standaard"/>
    <w:link w:val="Kop2Char"/>
    <w:uiPriority w:val="9"/>
    <w:semiHidden/>
    <w:unhideWhenUsed/>
    <w:qFormat/>
    <w:rsid w:val="00C847EE"/>
    <w:pPr>
      <w:keepNext/>
      <w:outlineLvl w:val="1"/>
    </w:pPr>
    <w:rPr>
      <w:rFonts w:ascii="Verdana" w:hAnsi="Verdana"/>
      <w:b/>
      <w:bCs/>
      <w:u w:val="single"/>
      <w:lang w:eastAsia="nl-NL"/>
    </w:rPr>
  </w:style>
  <w:style w:type="paragraph" w:styleId="Kop3">
    <w:name w:val="heading 3"/>
    <w:basedOn w:val="Standaard"/>
    <w:link w:val="Kop3Char"/>
    <w:uiPriority w:val="9"/>
    <w:semiHidden/>
    <w:unhideWhenUsed/>
    <w:qFormat/>
    <w:rsid w:val="00C847EE"/>
    <w:pPr>
      <w:keepNext/>
      <w:ind w:left="284"/>
      <w:jc w:val="both"/>
      <w:outlineLvl w:val="2"/>
    </w:pPr>
    <w:rPr>
      <w:rFonts w:ascii="Book Antiqua" w:hAnsi="Book Antiqua"/>
      <w:b/>
      <w:bCs/>
      <w:i/>
      <w:iCs/>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C847EE"/>
    <w:rPr>
      <w:rFonts w:ascii="Verdana" w:hAnsi="Verdana" w:cs="Calibri"/>
      <w:b/>
      <w:bCs/>
      <w:u w:val="single"/>
      <w:lang w:eastAsia="nl-NL"/>
    </w:rPr>
  </w:style>
  <w:style w:type="character" w:customStyle="1" w:styleId="Kop3Char">
    <w:name w:val="Kop 3 Char"/>
    <w:basedOn w:val="Standaardalinea-lettertype"/>
    <w:link w:val="Kop3"/>
    <w:uiPriority w:val="9"/>
    <w:semiHidden/>
    <w:rsid w:val="00C847EE"/>
    <w:rPr>
      <w:rFonts w:ascii="Book Antiqua" w:hAnsi="Book Antiqua" w:cs="Calibri"/>
      <w:b/>
      <w:bCs/>
      <w:i/>
      <w:iCs/>
      <w:u w:val="single"/>
      <w:lang w:eastAsia="nl-NL"/>
    </w:rPr>
  </w:style>
  <w:style w:type="character" w:styleId="Hyperlink">
    <w:name w:val="Hyperlink"/>
    <w:basedOn w:val="Standaardalinea-lettertype"/>
    <w:uiPriority w:val="99"/>
    <w:semiHidden/>
    <w:unhideWhenUsed/>
    <w:rsid w:val="00C847EE"/>
    <w:rPr>
      <w:color w:val="0563C1"/>
      <w:u w:val="single"/>
    </w:rPr>
  </w:style>
  <w:style w:type="paragraph" w:styleId="Plattetekst2">
    <w:name w:val="Body Text 2"/>
    <w:basedOn w:val="Standaard"/>
    <w:link w:val="Plattetekst2Char"/>
    <w:uiPriority w:val="99"/>
    <w:semiHidden/>
    <w:unhideWhenUsed/>
    <w:rsid w:val="00C847EE"/>
    <w:pPr>
      <w:spacing w:after="120" w:line="480" w:lineRule="auto"/>
    </w:pPr>
    <w:rPr>
      <w:rFonts w:ascii="Arial" w:hAnsi="Arial" w:cs="Arial"/>
      <w:sz w:val="20"/>
      <w:szCs w:val="20"/>
      <w:lang w:eastAsia="nl-NL"/>
    </w:rPr>
  </w:style>
  <w:style w:type="character" w:customStyle="1" w:styleId="Plattetekst2Char">
    <w:name w:val="Platte tekst 2 Char"/>
    <w:basedOn w:val="Standaardalinea-lettertype"/>
    <w:link w:val="Plattetekst2"/>
    <w:uiPriority w:val="99"/>
    <w:semiHidden/>
    <w:rsid w:val="00C847EE"/>
    <w:rPr>
      <w:rFonts w:ascii="Arial"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2.safelinks.protection.outlook.com/?url=http%3A%2F%2Fwww.ejustice.just.fgov.be%2Fcgi_loi%2Floi_a1.pl%3FDETAIL%3D2007120742%252FN%26caller%3Dlist%26row_id%3D1%26numero%3D2%26rech%3D16%26cn%3D2007120742%26table_name%3DWET%26nm%3D2007037220%26la%3DN%26ddfm%3D12%26dt%3DBESLUIT%2BVLAAMSE%2BREGERING%26language%3Dnl%26choix1%3DEN%26choix2%3DEN%26fromtab%3Dwet_all%26nl%3Dn%26trier%3Dafkondiging%26chercher%3Dt%26ddda%3D2007%26sql%3Ddt%2Bcontains%2B%2B%2527BESLUIT%2527%2526%2B%2527VLAAMSE%2527%2526%2B%2527REGERING%2527%2Band%2Bdd%2Bbetween%2Bdate%25272007-12-07%2527%2Band%2Bdate%25272007-12-07%2527%2Band%2Bactif%2B%253D%2B%2527Y%2527%26tri%3Ddd%2BAS%2BRANK%2B%26ddfa%3D2007%26dddj%3D07%26dddm%3D12%26ddfj%3D07%26imgcn.x%3D22%26imgcn.y%3D7%23LNK0034%23LNK0034&amp;data=02%7C01%7Crob.baeyens%40kasterlee.be%7Cadb376d32b8e40556b0508d6cca4cc45%7C3fab6a36ab304fb8826baaa782d3c3dc%7C0%7C0%7C636921406319153142&amp;sdata=qtm7MWP1IAVKGiPTNMM6UnZvyklrs9OBqK4vGQw2rRs%3D&amp;reserved=0" TargetMode="External"/><Relationship Id="rId4" Type="http://schemas.openxmlformats.org/officeDocument/2006/relationships/hyperlink" Target="https://eur02.safelinks.protection.outlook.com/?url=http%3A%2F%2Fwww.ejustice.just.fgov.be%2Fcgi_loi%2Floi_a1.pl%3FDETAIL%3D2007120742%252FN%26caller%3Dlist%26row_id%3D1%26numero%3D2%26rech%3D16%26cn%3D2007120742%26table_name%3DWET%26nm%3D2007037220%26la%3DN%26ddfm%3D12%26dt%3DBESLUIT%2BVLAAMSE%2BREGERING%26language%3Dnl%26choix1%3DEN%26choix2%3DEN%26fromtab%3Dwet_all%26nl%3Dn%26trier%3Dafkondiging%26chercher%3Dt%26ddda%3D2007%26sql%3Ddt%2Bcontains%2B%2B%2527BESLUIT%2527%2526%2B%2527VLAAMSE%2527%2526%2B%2527REGERING%2527%2Band%2Bdd%2Bbetween%2Bdate%25272007-12-07%2527%2Band%2Bdate%25272007-12-07%2527%2Band%2Bactif%2B%253D%2B%2527Y%2527%26tri%3Ddd%2BAS%2BRANK%2B%26ddfa%3D2007%26dddj%3D07%26dddm%3D12%26ddfj%3D07%26imgcn.x%3D22%26imgcn.y%3D7%23LNK0033%23LNK0033&amp;data=02%7C01%7Crob.baeyens%40kasterlee.be%7Cadb376d32b8e40556b0508d6cca4cc45%7C3fab6a36ab304fb8826baaa782d3c3dc%7C0%7C0%7C636921406319143134&amp;sdata=cwstSUsONcAR1U8Zm1rrm%2FCjmhMPYm8s7WMQcSe3azc%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3215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2</cp:revision>
  <cp:lastPrinted>2019-04-30T09:16:00Z</cp:lastPrinted>
  <dcterms:created xsi:type="dcterms:W3CDTF">2019-07-10T06:34:00Z</dcterms:created>
  <dcterms:modified xsi:type="dcterms:W3CDTF">2019-07-10T06:34:00Z</dcterms:modified>
</cp:coreProperties>
</file>