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80A4" w14:textId="77777777" w:rsidR="00857613" w:rsidRDefault="00857613">
      <w:pPr>
        <w:rPr>
          <w:lang w:val="en-GB"/>
        </w:rPr>
      </w:pPr>
    </w:p>
    <w:p w14:paraId="71C3DA28" w14:textId="77777777" w:rsidR="00857613" w:rsidRDefault="00857613">
      <w:pPr>
        <w:rPr>
          <w:lang w:val="en-GB"/>
        </w:rPr>
      </w:pPr>
    </w:p>
    <w:p w14:paraId="019534C9" w14:textId="77777777" w:rsidR="00857613" w:rsidRDefault="00857613">
      <w:pPr>
        <w:rPr>
          <w:lang w:val="en-GB"/>
        </w:rPr>
      </w:pPr>
    </w:p>
    <w:p w14:paraId="5416A70F" w14:textId="77777777" w:rsidR="00857613" w:rsidRDefault="00857613">
      <w:pPr>
        <w:rPr>
          <w:lang w:val="en-GB"/>
        </w:rPr>
      </w:pPr>
    </w:p>
    <w:p w14:paraId="0413D274" w14:textId="77777777" w:rsidR="00857613" w:rsidRDefault="00857613">
      <w:pPr>
        <w:rPr>
          <w:lang w:val="en-GB"/>
        </w:rPr>
      </w:pPr>
    </w:p>
    <w:p w14:paraId="077D6F94" w14:textId="77777777" w:rsidR="00857613" w:rsidRDefault="00857613">
      <w:pPr>
        <w:rPr>
          <w:lang w:val="en-GB"/>
        </w:rPr>
      </w:pPr>
    </w:p>
    <w:p w14:paraId="722E4685" w14:textId="77777777" w:rsidR="00857613" w:rsidRDefault="00857613">
      <w:pPr>
        <w:rPr>
          <w:lang w:val="en-GB"/>
        </w:rPr>
      </w:pPr>
    </w:p>
    <w:p w14:paraId="745460A3" w14:textId="77777777" w:rsidR="00857613" w:rsidRDefault="00857613">
      <w:pPr>
        <w:rPr>
          <w:lang w:val="en-GB"/>
        </w:rPr>
      </w:pPr>
    </w:p>
    <w:p w14:paraId="640C4506" w14:textId="77777777" w:rsidR="00857613" w:rsidRDefault="00857613">
      <w:pPr>
        <w:rPr>
          <w:lang w:val="en-GB"/>
        </w:rPr>
      </w:pPr>
    </w:p>
    <w:p w14:paraId="45C0E21A" w14:textId="77777777" w:rsidR="00857613" w:rsidRDefault="00857613">
      <w:pPr>
        <w:rPr>
          <w:lang w:val="en-GB"/>
        </w:rPr>
      </w:pPr>
    </w:p>
    <w:p w14:paraId="13AEE101" w14:textId="77777777" w:rsidR="00857613" w:rsidRDefault="00857613">
      <w:pPr>
        <w:rPr>
          <w:lang w:val="en-GB"/>
        </w:rPr>
      </w:pPr>
    </w:p>
    <w:p w14:paraId="36FAA9DF" w14:textId="77777777" w:rsidR="00857613" w:rsidRDefault="00857613">
      <w:pPr>
        <w:rPr>
          <w:lang w:val="en-GB"/>
        </w:rPr>
      </w:pPr>
    </w:p>
    <w:p w14:paraId="4953A6EE" w14:textId="77777777" w:rsidR="00857613" w:rsidRDefault="00857613">
      <w:pPr>
        <w:rPr>
          <w:lang w:val="en-GB"/>
        </w:rPr>
      </w:pPr>
    </w:p>
    <w:p w14:paraId="2937C6EA" w14:textId="77777777" w:rsidR="00857613" w:rsidRDefault="00857613">
      <w:pPr>
        <w:rPr>
          <w:rFonts w:ascii="Verdana" w:hAnsi="Verdana"/>
          <w:lang w:val="en-GB"/>
        </w:rPr>
      </w:pPr>
    </w:p>
    <w:p w14:paraId="5BD6B94D" w14:textId="77777777" w:rsidR="00857613" w:rsidRDefault="00857613">
      <w:pPr>
        <w:rPr>
          <w:rFonts w:ascii="Verdana" w:hAnsi="Verdana"/>
          <w:lang w:val="en-GB"/>
        </w:rPr>
      </w:pPr>
    </w:p>
    <w:p w14:paraId="578FA4F3" w14:textId="77777777" w:rsidR="00857613" w:rsidRDefault="00857613">
      <w:pPr>
        <w:rPr>
          <w:rFonts w:ascii="Verdana" w:hAnsi="Verdana"/>
          <w:lang w:val="en-GB"/>
        </w:rPr>
      </w:pPr>
    </w:p>
    <w:p w14:paraId="3CB7E049" w14:textId="47757B43" w:rsidR="00857613" w:rsidRDefault="00857613">
      <w:pPr>
        <w:jc w:val="center"/>
        <w:rPr>
          <w:rFonts w:ascii="Verdana" w:hAnsi="Verdana"/>
          <w:b/>
          <w:sz w:val="44"/>
          <w:szCs w:val="44"/>
          <w:u w:val="single"/>
        </w:rPr>
      </w:pPr>
    </w:p>
    <w:p w14:paraId="75241A79" w14:textId="77777777" w:rsidR="00857613" w:rsidRDefault="00857613">
      <w:pPr>
        <w:jc w:val="center"/>
        <w:rPr>
          <w:rFonts w:ascii="Verdana" w:hAnsi="Verdana"/>
          <w:b/>
          <w:sz w:val="44"/>
          <w:szCs w:val="44"/>
          <w:u w:val="single"/>
        </w:rPr>
      </w:pPr>
      <w:r>
        <w:rPr>
          <w:rFonts w:ascii="Verdana" w:hAnsi="Verdana"/>
          <w:b/>
          <w:sz w:val="44"/>
          <w:szCs w:val="44"/>
          <w:u w:val="single"/>
        </w:rPr>
        <w:t xml:space="preserve"> </w:t>
      </w:r>
    </w:p>
    <w:p w14:paraId="05187884" w14:textId="77777777" w:rsidR="00857613" w:rsidRDefault="00857613">
      <w:pPr>
        <w:jc w:val="center"/>
        <w:rPr>
          <w:rFonts w:ascii="Verdana" w:hAnsi="Verdana"/>
          <w:b/>
          <w:sz w:val="44"/>
          <w:szCs w:val="44"/>
          <w:u w:val="single"/>
        </w:rPr>
      </w:pPr>
      <w:r>
        <w:rPr>
          <w:rFonts w:ascii="Verdana" w:hAnsi="Verdana"/>
          <w:b/>
          <w:sz w:val="44"/>
          <w:szCs w:val="44"/>
          <w:u w:val="single"/>
        </w:rPr>
        <w:t>Deontologische code</w:t>
      </w:r>
    </w:p>
    <w:p w14:paraId="16D40A71" w14:textId="77777777" w:rsidR="00857613" w:rsidRDefault="00857613">
      <w:pPr>
        <w:jc w:val="center"/>
        <w:rPr>
          <w:rFonts w:ascii="Verdana" w:hAnsi="Verdana"/>
          <w:b/>
          <w:sz w:val="44"/>
          <w:szCs w:val="44"/>
          <w:u w:val="single"/>
        </w:rPr>
      </w:pPr>
    </w:p>
    <w:p w14:paraId="5FA14426" w14:textId="77777777" w:rsidR="00857613" w:rsidRDefault="00857613">
      <w:pPr>
        <w:jc w:val="center"/>
        <w:rPr>
          <w:rFonts w:ascii="Verdana" w:hAnsi="Verdana"/>
          <w:b/>
          <w:sz w:val="44"/>
          <w:szCs w:val="44"/>
          <w:u w:val="single"/>
        </w:rPr>
      </w:pPr>
      <w:r>
        <w:rPr>
          <w:rFonts w:ascii="Verdana" w:hAnsi="Verdana"/>
          <w:b/>
          <w:sz w:val="44"/>
          <w:szCs w:val="44"/>
          <w:u w:val="single"/>
        </w:rPr>
        <w:t xml:space="preserve">Goedgekeurd dd. </w:t>
      </w:r>
    </w:p>
    <w:p w14:paraId="48C0615C" w14:textId="77777777" w:rsidR="00857613" w:rsidRDefault="00857613">
      <w:pPr>
        <w:rPr>
          <w:sz w:val="32"/>
          <w:szCs w:val="32"/>
        </w:rPr>
      </w:pPr>
    </w:p>
    <w:p w14:paraId="1763F46B" w14:textId="77777777" w:rsidR="00857613" w:rsidRDefault="00857613"/>
    <w:p w14:paraId="70A47938" w14:textId="77777777" w:rsidR="00857613" w:rsidRDefault="00857613"/>
    <w:p w14:paraId="70CB5D11" w14:textId="77777777" w:rsidR="00857613" w:rsidRDefault="00857613"/>
    <w:p w14:paraId="44BE3B9A" w14:textId="77777777" w:rsidR="00857613" w:rsidRDefault="00857613"/>
    <w:p w14:paraId="51016879" w14:textId="77777777" w:rsidR="00857613" w:rsidRDefault="00857613"/>
    <w:p w14:paraId="3E11C884" w14:textId="77777777" w:rsidR="00857613" w:rsidRDefault="00857613"/>
    <w:p w14:paraId="4B4652A2" w14:textId="77777777" w:rsidR="00857613" w:rsidRDefault="00857613"/>
    <w:p w14:paraId="63DCF328" w14:textId="77777777" w:rsidR="00857613" w:rsidRDefault="00857613"/>
    <w:p w14:paraId="2E692B5C" w14:textId="77777777" w:rsidR="00857613" w:rsidRDefault="00857613"/>
    <w:p w14:paraId="13B13C7F" w14:textId="77777777" w:rsidR="00857613" w:rsidRDefault="00857613"/>
    <w:p w14:paraId="116A7FF9" w14:textId="77777777" w:rsidR="00857613" w:rsidRDefault="00857613"/>
    <w:p w14:paraId="3DBC30E6" w14:textId="77777777" w:rsidR="00857613" w:rsidRDefault="00857613"/>
    <w:p w14:paraId="77ACBF4B" w14:textId="77777777" w:rsidR="00857613" w:rsidRDefault="00857613"/>
    <w:p w14:paraId="393394FC" w14:textId="77777777" w:rsidR="00857613" w:rsidRDefault="00857613"/>
    <w:p w14:paraId="0AE76164" w14:textId="77777777" w:rsidR="00857613" w:rsidRDefault="00857613"/>
    <w:p w14:paraId="698FE4A2" w14:textId="77777777" w:rsidR="00857613" w:rsidRDefault="00857613"/>
    <w:p w14:paraId="50431A9B" w14:textId="77777777" w:rsidR="00857613" w:rsidRDefault="00857613"/>
    <w:p w14:paraId="39607A89" w14:textId="77777777" w:rsidR="00857613" w:rsidRDefault="00857613"/>
    <w:p w14:paraId="4549A586" w14:textId="77777777" w:rsidR="00857613" w:rsidRDefault="00857613"/>
    <w:p w14:paraId="355FD1A8" w14:textId="77777777" w:rsidR="00857613" w:rsidRDefault="00857613"/>
    <w:p w14:paraId="37FAFAEA" w14:textId="77777777" w:rsidR="00857613" w:rsidRDefault="00857613"/>
    <w:p w14:paraId="3278B787" w14:textId="77777777" w:rsidR="00857613" w:rsidRDefault="00857613"/>
    <w:p w14:paraId="5C258BAF" w14:textId="77777777" w:rsidR="00857613" w:rsidRDefault="00857613"/>
    <w:p w14:paraId="0EC33572" w14:textId="5F984207" w:rsidR="00857613" w:rsidRDefault="00857613">
      <w:pPr>
        <w:rPr>
          <w:rFonts w:ascii="Verdana" w:hAnsi="Verdana"/>
          <w:b/>
          <w:sz w:val="22"/>
          <w:szCs w:val="22"/>
          <w:u w:val="single"/>
        </w:rPr>
      </w:pPr>
      <w:r>
        <w:rPr>
          <w:rFonts w:ascii="Verdana" w:hAnsi="Verdana"/>
          <w:b/>
          <w:sz w:val="22"/>
          <w:szCs w:val="22"/>
          <w:u w:val="single"/>
        </w:rPr>
        <w:lastRenderedPageBreak/>
        <w:t>Inhoudstabel</w:t>
      </w:r>
      <w:bookmarkStart w:id="0" w:name="_GoBack"/>
      <w:bookmarkEnd w:id="0"/>
    </w:p>
    <w:p w14:paraId="71E60FA8" w14:textId="77777777" w:rsidR="00857613" w:rsidRDefault="00857613">
      <w:pPr>
        <w:rPr>
          <w:b/>
          <w:u w:val="single"/>
        </w:rPr>
      </w:pPr>
    </w:p>
    <w:p w14:paraId="21F3978B" w14:textId="77777777" w:rsidR="00857613" w:rsidRDefault="00857613">
      <w:pPr>
        <w:rPr>
          <w:b/>
          <w:u w:val="single"/>
        </w:rPr>
      </w:pPr>
    </w:p>
    <w:p w14:paraId="5FF4F830" w14:textId="563F0C47" w:rsidR="008A3E69" w:rsidRDefault="00857613">
      <w:pPr>
        <w:pStyle w:val="Inhopg1"/>
        <w:rPr>
          <w:rFonts w:asciiTheme="minorHAnsi" w:eastAsiaTheme="minorEastAsia" w:hAnsiTheme="minorHAnsi" w:cstheme="minorBidi"/>
          <w:b w:val="0"/>
          <w:sz w:val="22"/>
          <w:szCs w:val="22"/>
          <w:lang w:val="nl-BE" w:eastAsia="nl-BE"/>
        </w:rPr>
      </w:pPr>
      <w:r>
        <w:fldChar w:fldCharType="begin"/>
      </w:r>
      <w:r>
        <w:instrText xml:space="preserve"> TOC \o "1-3" \h \z \u </w:instrText>
      </w:r>
      <w:r>
        <w:fldChar w:fldCharType="separate"/>
      </w:r>
      <w:hyperlink w:anchor="_Toc4579337" w:history="1">
        <w:r w:rsidR="008A3E69" w:rsidRPr="009E4BAF">
          <w:rPr>
            <w:rStyle w:val="Hyperlink"/>
            <w:caps/>
          </w:rPr>
          <w:t>DEEL 1 - Het statuut van de code voor politici</w:t>
        </w:r>
        <w:r w:rsidR="008A3E69">
          <w:rPr>
            <w:webHidden/>
          </w:rPr>
          <w:tab/>
        </w:r>
        <w:r w:rsidR="008A3E69">
          <w:rPr>
            <w:webHidden/>
          </w:rPr>
          <w:fldChar w:fldCharType="begin"/>
        </w:r>
        <w:r w:rsidR="008A3E69">
          <w:rPr>
            <w:webHidden/>
          </w:rPr>
          <w:instrText xml:space="preserve"> PAGEREF _Toc4579337 \h </w:instrText>
        </w:r>
        <w:r w:rsidR="008A3E69">
          <w:rPr>
            <w:webHidden/>
          </w:rPr>
        </w:r>
        <w:r w:rsidR="008A3E69">
          <w:rPr>
            <w:webHidden/>
          </w:rPr>
          <w:fldChar w:fldCharType="separate"/>
        </w:r>
        <w:r w:rsidR="008A3E69">
          <w:rPr>
            <w:webHidden/>
          </w:rPr>
          <w:t>2</w:t>
        </w:r>
        <w:r w:rsidR="008A3E69">
          <w:rPr>
            <w:webHidden/>
          </w:rPr>
          <w:fldChar w:fldCharType="end"/>
        </w:r>
      </w:hyperlink>
    </w:p>
    <w:p w14:paraId="53E24585" w14:textId="6B92E8F8" w:rsidR="008A3E69" w:rsidRDefault="008A3E69">
      <w:pPr>
        <w:pStyle w:val="Inhopg2"/>
        <w:rPr>
          <w:rFonts w:asciiTheme="minorHAnsi" w:eastAsiaTheme="minorEastAsia" w:hAnsiTheme="minorHAnsi" w:cstheme="minorBidi"/>
          <w:i w:val="0"/>
          <w:snapToGrid/>
          <w:sz w:val="22"/>
          <w:szCs w:val="22"/>
          <w:lang w:val="nl-BE" w:eastAsia="nl-BE"/>
        </w:rPr>
      </w:pPr>
      <w:hyperlink w:anchor="_Toc4579338" w:history="1">
        <w:r w:rsidRPr="009E4BAF">
          <w:rPr>
            <w:rStyle w:val="Hyperlink"/>
          </w:rPr>
          <w:t>Artikel 1 – definitie</w:t>
        </w:r>
        <w:r>
          <w:rPr>
            <w:webHidden/>
          </w:rPr>
          <w:tab/>
        </w:r>
        <w:r>
          <w:rPr>
            <w:webHidden/>
          </w:rPr>
          <w:fldChar w:fldCharType="begin"/>
        </w:r>
        <w:r>
          <w:rPr>
            <w:webHidden/>
          </w:rPr>
          <w:instrText xml:space="preserve"> PAGEREF _Toc4579338 \h </w:instrText>
        </w:r>
        <w:r>
          <w:rPr>
            <w:webHidden/>
          </w:rPr>
        </w:r>
        <w:r>
          <w:rPr>
            <w:webHidden/>
          </w:rPr>
          <w:fldChar w:fldCharType="separate"/>
        </w:r>
        <w:r>
          <w:rPr>
            <w:webHidden/>
          </w:rPr>
          <w:t>2</w:t>
        </w:r>
        <w:r>
          <w:rPr>
            <w:webHidden/>
          </w:rPr>
          <w:fldChar w:fldCharType="end"/>
        </w:r>
      </w:hyperlink>
    </w:p>
    <w:p w14:paraId="2A91D15D" w14:textId="1B0FB3CA" w:rsidR="008A3E69" w:rsidRDefault="008A3E69">
      <w:pPr>
        <w:pStyle w:val="Inhopg2"/>
        <w:rPr>
          <w:rFonts w:asciiTheme="minorHAnsi" w:eastAsiaTheme="minorEastAsia" w:hAnsiTheme="minorHAnsi" w:cstheme="minorBidi"/>
          <w:i w:val="0"/>
          <w:snapToGrid/>
          <w:sz w:val="22"/>
          <w:szCs w:val="22"/>
          <w:lang w:val="nl-BE" w:eastAsia="nl-BE"/>
        </w:rPr>
      </w:pPr>
      <w:hyperlink w:anchor="_Toc4579339" w:history="1">
        <w:r w:rsidRPr="009E4BAF">
          <w:rPr>
            <w:rStyle w:val="Hyperlink"/>
          </w:rPr>
          <w:t>Artikel 2 – doelstelling</w:t>
        </w:r>
        <w:r>
          <w:rPr>
            <w:webHidden/>
          </w:rPr>
          <w:tab/>
        </w:r>
        <w:r>
          <w:rPr>
            <w:webHidden/>
          </w:rPr>
          <w:fldChar w:fldCharType="begin"/>
        </w:r>
        <w:r>
          <w:rPr>
            <w:webHidden/>
          </w:rPr>
          <w:instrText xml:space="preserve"> PAGEREF _Toc4579339 \h </w:instrText>
        </w:r>
        <w:r>
          <w:rPr>
            <w:webHidden/>
          </w:rPr>
        </w:r>
        <w:r>
          <w:rPr>
            <w:webHidden/>
          </w:rPr>
          <w:fldChar w:fldCharType="separate"/>
        </w:r>
        <w:r>
          <w:rPr>
            <w:webHidden/>
          </w:rPr>
          <w:t>2</w:t>
        </w:r>
        <w:r>
          <w:rPr>
            <w:webHidden/>
          </w:rPr>
          <w:fldChar w:fldCharType="end"/>
        </w:r>
      </w:hyperlink>
    </w:p>
    <w:p w14:paraId="3719B2A7" w14:textId="107C5D0F" w:rsidR="008A3E69" w:rsidRDefault="008A3E69">
      <w:pPr>
        <w:pStyle w:val="Inhopg2"/>
        <w:rPr>
          <w:rFonts w:asciiTheme="minorHAnsi" w:eastAsiaTheme="minorEastAsia" w:hAnsiTheme="minorHAnsi" w:cstheme="minorBidi"/>
          <w:i w:val="0"/>
          <w:snapToGrid/>
          <w:sz w:val="22"/>
          <w:szCs w:val="22"/>
          <w:lang w:val="nl-BE" w:eastAsia="nl-BE"/>
        </w:rPr>
      </w:pPr>
      <w:hyperlink w:anchor="_Toc4579340" w:history="1">
        <w:r w:rsidRPr="009E4BAF">
          <w:rPr>
            <w:rStyle w:val="Hyperlink"/>
          </w:rPr>
          <w:t>Artikel 3 – ondertekening</w:t>
        </w:r>
        <w:r>
          <w:rPr>
            <w:webHidden/>
          </w:rPr>
          <w:tab/>
        </w:r>
        <w:r>
          <w:rPr>
            <w:webHidden/>
          </w:rPr>
          <w:fldChar w:fldCharType="begin"/>
        </w:r>
        <w:r>
          <w:rPr>
            <w:webHidden/>
          </w:rPr>
          <w:instrText xml:space="preserve"> PAGEREF _Toc4579340 \h </w:instrText>
        </w:r>
        <w:r>
          <w:rPr>
            <w:webHidden/>
          </w:rPr>
        </w:r>
        <w:r>
          <w:rPr>
            <w:webHidden/>
          </w:rPr>
          <w:fldChar w:fldCharType="separate"/>
        </w:r>
        <w:r>
          <w:rPr>
            <w:webHidden/>
          </w:rPr>
          <w:t>2</w:t>
        </w:r>
        <w:r>
          <w:rPr>
            <w:webHidden/>
          </w:rPr>
          <w:fldChar w:fldCharType="end"/>
        </w:r>
      </w:hyperlink>
    </w:p>
    <w:p w14:paraId="6FE790A6" w14:textId="775F1DEA" w:rsidR="008A3E69" w:rsidRDefault="008A3E69">
      <w:pPr>
        <w:pStyle w:val="Inhopg1"/>
        <w:rPr>
          <w:rFonts w:asciiTheme="minorHAnsi" w:eastAsiaTheme="minorEastAsia" w:hAnsiTheme="minorHAnsi" w:cstheme="minorBidi"/>
          <w:b w:val="0"/>
          <w:sz w:val="22"/>
          <w:szCs w:val="22"/>
          <w:lang w:val="nl-BE" w:eastAsia="nl-BE"/>
        </w:rPr>
      </w:pPr>
      <w:hyperlink w:anchor="_Toc4579341" w:history="1">
        <w:r w:rsidRPr="009E4BAF">
          <w:rPr>
            <w:rStyle w:val="Hyperlink"/>
            <w:caps/>
          </w:rPr>
          <w:t>DEEL 2. Algemene plichten, doelstellingen en uitgangspunten</w:t>
        </w:r>
        <w:r>
          <w:rPr>
            <w:webHidden/>
          </w:rPr>
          <w:tab/>
        </w:r>
        <w:r>
          <w:rPr>
            <w:webHidden/>
          </w:rPr>
          <w:fldChar w:fldCharType="begin"/>
        </w:r>
        <w:r>
          <w:rPr>
            <w:webHidden/>
          </w:rPr>
          <w:instrText xml:space="preserve"> PAGEREF _Toc4579341 \h </w:instrText>
        </w:r>
        <w:r>
          <w:rPr>
            <w:webHidden/>
          </w:rPr>
        </w:r>
        <w:r>
          <w:rPr>
            <w:webHidden/>
          </w:rPr>
          <w:fldChar w:fldCharType="separate"/>
        </w:r>
        <w:r>
          <w:rPr>
            <w:webHidden/>
          </w:rPr>
          <w:t>3</w:t>
        </w:r>
        <w:r>
          <w:rPr>
            <w:webHidden/>
          </w:rPr>
          <w:fldChar w:fldCharType="end"/>
        </w:r>
      </w:hyperlink>
    </w:p>
    <w:p w14:paraId="21A5244C" w14:textId="10747397" w:rsidR="008A3E69" w:rsidRDefault="008A3E69">
      <w:pPr>
        <w:pStyle w:val="Inhopg2"/>
        <w:rPr>
          <w:rFonts w:asciiTheme="minorHAnsi" w:eastAsiaTheme="minorEastAsia" w:hAnsiTheme="minorHAnsi" w:cstheme="minorBidi"/>
          <w:i w:val="0"/>
          <w:snapToGrid/>
          <w:sz w:val="22"/>
          <w:szCs w:val="22"/>
          <w:lang w:val="nl-BE" w:eastAsia="nl-BE"/>
        </w:rPr>
      </w:pPr>
      <w:hyperlink w:anchor="_Toc4579342" w:history="1">
        <w:r w:rsidRPr="009E4BAF">
          <w:rPr>
            <w:rStyle w:val="Hyperlink"/>
          </w:rPr>
          <w:t>Artikel 4 – hantering termen</w:t>
        </w:r>
        <w:r>
          <w:rPr>
            <w:webHidden/>
          </w:rPr>
          <w:tab/>
        </w:r>
        <w:r>
          <w:rPr>
            <w:webHidden/>
          </w:rPr>
          <w:fldChar w:fldCharType="begin"/>
        </w:r>
        <w:r>
          <w:rPr>
            <w:webHidden/>
          </w:rPr>
          <w:instrText xml:space="preserve"> PAGEREF _Toc4579342 \h </w:instrText>
        </w:r>
        <w:r>
          <w:rPr>
            <w:webHidden/>
          </w:rPr>
        </w:r>
        <w:r>
          <w:rPr>
            <w:webHidden/>
          </w:rPr>
          <w:fldChar w:fldCharType="separate"/>
        </w:r>
        <w:r>
          <w:rPr>
            <w:webHidden/>
          </w:rPr>
          <w:t>3</w:t>
        </w:r>
        <w:r>
          <w:rPr>
            <w:webHidden/>
          </w:rPr>
          <w:fldChar w:fldCharType="end"/>
        </w:r>
      </w:hyperlink>
    </w:p>
    <w:p w14:paraId="576E31FA" w14:textId="19BB4345" w:rsidR="008A3E69" w:rsidRDefault="008A3E69">
      <w:pPr>
        <w:pStyle w:val="Inhopg2"/>
        <w:rPr>
          <w:rFonts w:asciiTheme="minorHAnsi" w:eastAsiaTheme="minorEastAsia" w:hAnsiTheme="minorHAnsi" w:cstheme="minorBidi"/>
          <w:i w:val="0"/>
          <w:snapToGrid/>
          <w:sz w:val="22"/>
          <w:szCs w:val="22"/>
          <w:lang w:val="nl-BE" w:eastAsia="nl-BE"/>
        </w:rPr>
      </w:pPr>
      <w:hyperlink w:anchor="_Toc4579343" w:history="1">
        <w:r w:rsidRPr="009E4BAF">
          <w:rPr>
            <w:rStyle w:val="Hyperlink"/>
          </w:rPr>
          <w:t>Artikel 5 – prioriteit algemeen belang</w:t>
        </w:r>
        <w:r>
          <w:rPr>
            <w:webHidden/>
          </w:rPr>
          <w:tab/>
        </w:r>
        <w:r>
          <w:rPr>
            <w:webHidden/>
          </w:rPr>
          <w:fldChar w:fldCharType="begin"/>
        </w:r>
        <w:r>
          <w:rPr>
            <w:webHidden/>
          </w:rPr>
          <w:instrText xml:space="preserve"> PAGEREF _Toc4579343 \h </w:instrText>
        </w:r>
        <w:r>
          <w:rPr>
            <w:webHidden/>
          </w:rPr>
        </w:r>
        <w:r>
          <w:rPr>
            <w:webHidden/>
          </w:rPr>
          <w:fldChar w:fldCharType="separate"/>
        </w:r>
        <w:r>
          <w:rPr>
            <w:webHidden/>
          </w:rPr>
          <w:t>3</w:t>
        </w:r>
        <w:r>
          <w:rPr>
            <w:webHidden/>
          </w:rPr>
          <w:fldChar w:fldCharType="end"/>
        </w:r>
      </w:hyperlink>
    </w:p>
    <w:p w14:paraId="398030C4" w14:textId="338B23F8" w:rsidR="008A3E69" w:rsidRDefault="008A3E69">
      <w:pPr>
        <w:pStyle w:val="Inhopg2"/>
        <w:rPr>
          <w:rFonts w:asciiTheme="minorHAnsi" w:eastAsiaTheme="minorEastAsia" w:hAnsiTheme="minorHAnsi" w:cstheme="minorBidi"/>
          <w:i w:val="0"/>
          <w:snapToGrid/>
          <w:sz w:val="22"/>
          <w:szCs w:val="22"/>
          <w:lang w:val="nl-BE" w:eastAsia="nl-BE"/>
        </w:rPr>
      </w:pPr>
      <w:hyperlink w:anchor="_Toc4579344" w:history="1">
        <w:r w:rsidRPr="009E4BAF">
          <w:rPr>
            <w:rStyle w:val="Hyperlink"/>
          </w:rPr>
          <w:t>Artikel 6 – onbezoldigde dienstverlening</w:t>
        </w:r>
        <w:r>
          <w:rPr>
            <w:webHidden/>
          </w:rPr>
          <w:tab/>
        </w:r>
        <w:r>
          <w:rPr>
            <w:webHidden/>
          </w:rPr>
          <w:fldChar w:fldCharType="begin"/>
        </w:r>
        <w:r>
          <w:rPr>
            <w:webHidden/>
          </w:rPr>
          <w:instrText xml:space="preserve"> PAGEREF _Toc4579344 \h </w:instrText>
        </w:r>
        <w:r>
          <w:rPr>
            <w:webHidden/>
          </w:rPr>
        </w:r>
        <w:r>
          <w:rPr>
            <w:webHidden/>
          </w:rPr>
          <w:fldChar w:fldCharType="separate"/>
        </w:r>
        <w:r>
          <w:rPr>
            <w:webHidden/>
          </w:rPr>
          <w:t>3</w:t>
        </w:r>
        <w:r>
          <w:rPr>
            <w:webHidden/>
          </w:rPr>
          <w:fldChar w:fldCharType="end"/>
        </w:r>
      </w:hyperlink>
    </w:p>
    <w:p w14:paraId="05DBAD18" w14:textId="3335E361" w:rsidR="008A3E69" w:rsidRDefault="008A3E69">
      <w:pPr>
        <w:pStyle w:val="Inhopg2"/>
        <w:rPr>
          <w:rFonts w:asciiTheme="minorHAnsi" w:eastAsiaTheme="minorEastAsia" w:hAnsiTheme="minorHAnsi" w:cstheme="minorBidi"/>
          <w:i w:val="0"/>
          <w:snapToGrid/>
          <w:sz w:val="22"/>
          <w:szCs w:val="22"/>
          <w:lang w:val="nl-BE" w:eastAsia="nl-BE"/>
        </w:rPr>
      </w:pPr>
      <w:hyperlink w:anchor="_Toc4579345" w:history="1">
        <w:r w:rsidRPr="009E4BAF">
          <w:rPr>
            <w:rStyle w:val="Hyperlink"/>
          </w:rPr>
          <w:t>Artikel 7 – respect rechten van de burgers</w:t>
        </w:r>
        <w:r>
          <w:rPr>
            <w:webHidden/>
          </w:rPr>
          <w:tab/>
        </w:r>
        <w:r>
          <w:rPr>
            <w:webHidden/>
          </w:rPr>
          <w:fldChar w:fldCharType="begin"/>
        </w:r>
        <w:r>
          <w:rPr>
            <w:webHidden/>
          </w:rPr>
          <w:instrText xml:space="preserve"> PAGEREF _Toc4579345 \h </w:instrText>
        </w:r>
        <w:r>
          <w:rPr>
            <w:webHidden/>
          </w:rPr>
        </w:r>
        <w:r>
          <w:rPr>
            <w:webHidden/>
          </w:rPr>
          <w:fldChar w:fldCharType="separate"/>
        </w:r>
        <w:r>
          <w:rPr>
            <w:webHidden/>
          </w:rPr>
          <w:t>3</w:t>
        </w:r>
        <w:r>
          <w:rPr>
            <w:webHidden/>
          </w:rPr>
          <w:fldChar w:fldCharType="end"/>
        </w:r>
      </w:hyperlink>
    </w:p>
    <w:p w14:paraId="578C15AF" w14:textId="102E9EC1" w:rsidR="008A3E69" w:rsidRDefault="008A3E69">
      <w:pPr>
        <w:pStyle w:val="Inhopg2"/>
        <w:rPr>
          <w:rFonts w:asciiTheme="minorHAnsi" w:eastAsiaTheme="minorEastAsia" w:hAnsiTheme="minorHAnsi" w:cstheme="minorBidi"/>
          <w:i w:val="0"/>
          <w:snapToGrid/>
          <w:sz w:val="22"/>
          <w:szCs w:val="22"/>
          <w:lang w:val="nl-BE" w:eastAsia="nl-BE"/>
        </w:rPr>
      </w:pPr>
      <w:hyperlink w:anchor="_Toc4579346" w:history="1">
        <w:r w:rsidRPr="009E4BAF">
          <w:rPr>
            <w:rStyle w:val="Hyperlink"/>
          </w:rPr>
          <w:t>Artikel 8 – tussenkomsten</w:t>
        </w:r>
        <w:r>
          <w:rPr>
            <w:webHidden/>
          </w:rPr>
          <w:tab/>
        </w:r>
        <w:r>
          <w:rPr>
            <w:webHidden/>
          </w:rPr>
          <w:fldChar w:fldCharType="begin"/>
        </w:r>
        <w:r>
          <w:rPr>
            <w:webHidden/>
          </w:rPr>
          <w:instrText xml:space="preserve"> PAGEREF _Toc4579346 \h </w:instrText>
        </w:r>
        <w:r>
          <w:rPr>
            <w:webHidden/>
          </w:rPr>
        </w:r>
        <w:r>
          <w:rPr>
            <w:webHidden/>
          </w:rPr>
          <w:fldChar w:fldCharType="separate"/>
        </w:r>
        <w:r>
          <w:rPr>
            <w:webHidden/>
          </w:rPr>
          <w:t>3</w:t>
        </w:r>
        <w:r>
          <w:rPr>
            <w:webHidden/>
          </w:rPr>
          <w:fldChar w:fldCharType="end"/>
        </w:r>
      </w:hyperlink>
    </w:p>
    <w:p w14:paraId="3428BB9B" w14:textId="37091960" w:rsidR="008A3E69" w:rsidRDefault="008A3E69">
      <w:pPr>
        <w:pStyle w:val="Inhopg1"/>
        <w:rPr>
          <w:rFonts w:asciiTheme="minorHAnsi" w:eastAsiaTheme="minorEastAsia" w:hAnsiTheme="minorHAnsi" w:cstheme="minorBidi"/>
          <w:b w:val="0"/>
          <w:sz w:val="22"/>
          <w:szCs w:val="22"/>
          <w:lang w:val="nl-BE" w:eastAsia="nl-BE"/>
        </w:rPr>
      </w:pPr>
      <w:hyperlink w:anchor="_Toc4579347" w:history="1">
        <w:r w:rsidRPr="009E4BAF">
          <w:rPr>
            <w:rStyle w:val="Hyperlink"/>
            <w:caps/>
          </w:rPr>
          <w:t>DEEL 3. Specifieke bepalingen:</w:t>
        </w:r>
        <w:r>
          <w:rPr>
            <w:webHidden/>
          </w:rPr>
          <w:tab/>
        </w:r>
        <w:r>
          <w:rPr>
            <w:webHidden/>
          </w:rPr>
          <w:fldChar w:fldCharType="begin"/>
        </w:r>
        <w:r>
          <w:rPr>
            <w:webHidden/>
          </w:rPr>
          <w:instrText xml:space="preserve"> PAGEREF _Toc4579347 \h </w:instrText>
        </w:r>
        <w:r>
          <w:rPr>
            <w:webHidden/>
          </w:rPr>
        </w:r>
        <w:r>
          <w:rPr>
            <w:webHidden/>
          </w:rPr>
          <w:fldChar w:fldCharType="separate"/>
        </w:r>
        <w:r>
          <w:rPr>
            <w:webHidden/>
          </w:rPr>
          <w:t>3</w:t>
        </w:r>
        <w:r>
          <w:rPr>
            <w:webHidden/>
          </w:rPr>
          <w:fldChar w:fldCharType="end"/>
        </w:r>
      </w:hyperlink>
    </w:p>
    <w:p w14:paraId="19B20BC4" w14:textId="7546AE13" w:rsidR="008A3E69" w:rsidRDefault="008A3E69">
      <w:pPr>
        <w:pStyle w:val="Inhopg2"/>
        <w:rPr>
          <w:rFonts w:asciiTheme="minorHAnsi" w:eastAsiaTheme="minorEastAsia" w:hAnsiTheme="minorHAnsi" w:cstheme="minorBidi"/>
          <w:i w:val="0"/>
          <w:snapToGrid/>
          <w:sz w:val="22"/>
          <w:szCs w:val="22"/>
          <w:lang w:val="nl-BE" w:eastAsia="nl-BE"/>
        </w:rPr>
      </w:pPr>
      <w:hyperlink w:anchor="_Toc4579348" w:history="1">
        <w:r w:rsidRPr="009E4BAF">
          <w:rPr>
            <w:rStyle w:val="Hyperlink"/>
          </w:rPr>
          <w:t>Artikel 9 – informatie behandeling</w:t>
        </w:r>
        <w:r>
          <w:rPr>
            <w:webHidden/>
          </w:rPr>
          <w:tab/>
        </w:r>
        <w:r>
          <w:rPr>
            <w:webHidden/>
          </w:rPr>
          <w:fldChar w:fldCharType="begin"/>
        </w:r>
        <w:r>
          <w:rPr>
            <w:webHidden/>
          </w:rPr>
          <w:instrText xml:space="preserve"> PAGEREF _Toc4579348 \h </w:instrText>
        </w:r>
        <w:r>
          <w:rPr>
            <w:webHidden/>
          </w:rPr>
        </w:r>
        <w:r>
          <w:rPr>
            <w:webHidden/>
          </w:rPr>
          <w:fldChar w:fldCharType="separate"/>
        </w:r>
        <w:r>
          <w:rPr>
            <w:webHidden/>
          </w:rPr>
          <w:t>3</w:t>
        </w:r>
        <w:r>
          <w:rPr>
            <w:webHidden/>
          </w:rPr>
          <w:fldChar w:fldCharType="end"/>
        </w:r>
      </w:hyperlink>
    </w:p>
    <w:p w14:paraId="5E7A2B9A" w14:textId="3F57B08A" w:rsidR="008A3E69" w:rsidRDefault="008A3E69">
      <w:pPr>
        <w:pStyle w:val="Inhopg2"/>
        <w:rPr>
          <w:rFonts w:asciiTheme="minorHAnsi" w:eastAsiaTheme="minorEastAsia" w:hAnsiTheme="minorHAnsi" w:cstheme="minorBidi"/>
          <w:i w:val="0"/>
          <w:snapToGrid/>
          <w:sz w:val="22"/>
          <w:szCs w:val="22"/>
          <w:lang w:val="nl-BE" w:eastAsia="nl-BE"/>
        </w:rPr>
      </w:pPr>
      <w:hyperlink w:anchor="_Toc4579349" w:history="1">
        <w:r w:rsidRPr="009E4BAF">
          <w:rPr>
            <w:rStyle w:val="Hyperlink"/>
          </w:rPr>
          <w:t>Artikel 10 – begeleiding burgers</w:t>
        </w:r>
        <w:r>
          <w:rPr>
            <w:webHidden/>
          </w:rPr>
          <w:tab/>
        </w:r>
        <w:r>
          <w:rPr>
            <w:webHidden/>
          </w:rPr>
          <w:fldChar w:fldCharType="begin"/>
        </w:r>
        <w:r>
          <w:rPr>
            <w:webHidden/>
          </w:rPr>
          <w:instrText xml:space="preserve"> PAGEREF _Toc4579349 \h </w:instrText>
        </w:r>
        <w:r>
          <w:rPr>
            <w:webHidden/>
          </w:rPr>
        </w:r>
        <w:r>
          <w:rPr>
            <w:webHidden/>
          </w:rPr>
          <w:fldChar w:fldCharType="separate"/>
        </w:r>
        <w:r>
          <w:rPr>
            <w:webHidden/>
          </w:rPr>
          <w:t>3</w:t>
        </w:r>
        <w:r>
          <w:rPr>
            <w:webHidden/>
          </w:rPr>
          <w:fldChar w:fldCharType="end"/>
        </w:r>
      </w:hyperlink>
    </w:p>
    <w:p w14:paraId="0FE7A524" w14:textId="37036705" w:rsidR="008A3E69" w:rsidRDefault="008A3E69">
      <w:pPr>
        <w:pStyle w:val="Inhopg2"/>
        <w:rPr>
          <w:rFonts w:asciiTheme="minorHAnsi" w:eastAsiaTheme="minorEastAsia" w:hAnsiTheme="minorHAnsi" w:cstheme="minorBidi"/>
          <w:i w:val="0"/>
          <w:snapToGrid/>
          <w:sz w:val="22"/>
          <w:szCs w:val="22"/>
          <w:lang w:val="nl-BE" w:eastAsia="nl-BE"/>
        </w:rPr>
      </w:pPr>
      <w:hyperlink w:anchor="_Toc4579350" w:history="1">
        <w:r w:rsidRPr="009E4BAF">
          <w:rPr>
            <w:rStyle w:val="Hyperlink"/>
          </w:rPr>
          <w:t>Artikel 11 – bespoedigingstussenkomsten</w:t>
        </w:r>
        <w:r>
          <w:rPr>
            <w:webHidden/>
          </w:rPr>
          <w:tab/>
        </w:r>
        <w:r>
          <w:rPr>
            <w:webHidden/>
          </w:rPr>
          <w:fldChar w:fldCharType="begin"/>
        </w:r>
        <w:r>
          <w:rPr>
            <w:webHidden/>
          </w:rPr>
          <w:instrText xml:space="preserve"> PAGEREF _Toc4579350 \h </w:instrText>
        </w:r>
        <w:r>
          <w:rPr>
            <w:webHidden/>
          </w:rPr>
        </w:r>
        <w:r>
          <w:rPr>
            <w:webHidden/>
          </w:rPr>
          <w:fldChar w:fldCharType="separate"/>
        </w:r>
        <w:r>
          <w:rPr>
            <w:webHidden/>
          </w:rPr>
          <w:t>3</w:t>
        </w:r>
        <w:r>
          <w:rPr>
            <w:webHidden/>
          </w:rPr>
          <w:fldChar w:fldCharType="end"/>
        </w:r>
      </w:hyperlink>
    </w:p>
    <w:p w14:paraId="44B702A9" w14:textId="56FC9343" w:rsidR="008A3E69" w:rsidRDefault="008A3E69">
      <w:pPr>
        <w:pStyle w:val="Inhopg2"/>
        <w:rPr>
          <w:rFonts w:asciiTheme="minorHAnsi" w:eastAsiaTheme="minorEastAsia" w:hAnsiTheme="minorHAnsi" w:cstheme="minorBidi"/>
          <w:i w:val="0"/>
          <w:snapToGrid/>
          <w:sz w:val="22"/>
          <w:szCs w:val="22"/>
          <w:lang w:val="nl-BE" w:eastAsia="nl-BE"/>
        </w:rPr>
      </w:pPr>
      <w:hyperlink w:anchor="_Toc4579351" w:history="1">
        <w:r w:rsidRPr="009E4BAF">
          <w:rPr>
            <w:rStyle w:val="Hyperlink"/>
          </w:rPr>
          <w:t>Artikel 12 – onwettige en onrechtmatige handelingen</w:t>
        </w:r>
        <w:r>
          <w:rPr>
            <w:webHidden/>
          </w:rPr>
          <w:tab/>
        </w:r>
        <w:r>
          <w:rPr>
            <w:webHidden/>
          </w:rPr>
          <w:fldChar w:fldCharType="begin"/>
        </w:r>
        <w:r>
          <w:rPr>
            <w:webHidden/>
          </w:rPr>
          <w:instrText xml:space="preserve"> PAGEREF _Toc4579351 \h </w:instrText>
        </w:r>
        <w:r>
          <w:rPr>
            <w:webHidden/>
          </w:rPr>
        </w:r>
        <w:r>
          <w:rPr>
            <w:webHidden/>
          </w:rPr>
          <w:fldChar w:fldCharType="separate"/>
        </w:r>
        <w:r>
          <w:rPr>
            <w:webHidden/>
          </w:rPr>
          <w:t>4</w:t>
        </w:r>
        <w:r>
          <w:rPr>
            <w:webHidden/>
          </w:rPr>
          <w:fldChar w:fldCharType="end"/>
        </w:r>
      </w:hyperlink>
    </w:p>
    <w:p w14:paraId="3BEDEA28" w14:textId="02F120CF" w:rsidR="008A3E69" w:rsidRDefault="008A3E69">
      <w:pPr>
        <w:pStyle w:val="Inhopg2"/>
        <w:rPr>
          <w:rFonts w:asciiTheme="minorHAnsi" w:eastAsiaTheme="minorEastAsia" w:hAnsiTheme="minorHAnsi" w:cstheme="minorBidi"/>
          <w:i w:val="0"/>
          <w:snapToGrid/>
          <w:sz w:val="22"/>
          <w:szCs w:val="22"/>
          <w:lang w:val="nl-BE" w:eastAsia="nl-BE"/>
        </w:rPr>
      </w:pPr>
      <w:hyperlink w:anchor="_Toc4579352" w:history="1">
        <w:r w:rsidRPr="009E4BAF">
          <w:rPr>
            <w:rStyle w:val="Hyperlink"/>
          </w:rPr>
          <w:t>Artikel 13 – schijndienstbetoon</w:t>
        </w:r>
        <w:r>
          <w:rPr>
            <w:webHidden/>
          </w:rPr>
          <w:tab/>
        </w:r>
        <w:r>
          <w:rPr>
            <w:webHidden/>
          </w:rPr>
          <w:fldChar w:fldCharType="begin"/>
        </w:r>
        <w:r>
          <w:rPr>
            <w:webHidden/>
          </w:rPr>
          <w:instrText xml:space="preserve"> PAGEREF _Toc4579352 \h </w:instrText>
        </w:r>
        <w:r>
          <w:rPr>
            <w:webHidden/>
          </w:rPr>
        </w:r>
        <w:r>
          <w:rPr>
            <w:webHidden/>
          </w:rPr>
          <w:fldChar w:fldCharType="separate"/>
        </w:r>
        <w:r>
          <w:rPr>
            <w:webHidden/>
          </w:rPr>
          <w:t>4</w:t>
        </w:r>
        <w:r>
          <w:rPr>
            <w:webHidden/>
          </w:rPr>
          <w:fldChar w:fldCharType="end"/>
        </w:r>
      </w:hyperlink>
    </w:p>
    <w:p w14:paraId="313CD56D" w14:textId="20E566CD" w:rsidR="008A3E69" w:rsidRDefault="008A3E69">
      <w:pPr>
        <w:pStyle w:val="Inhopg2"/>
        <w:rPr>
          <w:rFonts w:asciiTheme="minorHAnsi" w:eastAsiaTheme="minorEastAsia" w:hAnsiTheme="minorHAnsi" w:cstheme="minorBidi"/>
          <w:i w:val="0"/>
          <w:snapToGrid/>
          <w:sz w:val="22"/>
          <w:szCs w:val="22"/>
          <w:lang w:val="nl-BE" w:eastAsia="nl-BE"/>
        </w:rPr>
      </w:pPr>
      <w:hyperlink w:anchor="_Toc4579353" w:history="1">
        <w:r w:rsidRPr="009E4BAF">
          <w:rPr>
            <w:rStyle w:val="Hyperlink"/>
          </w:rPr>
          <w:t>Artikel 14 – informatieplicht bestuur</w:t>
        </w:r>
        <w:r>
          <w:rPr>
            <w:webHidden/>
          </w:rPr>
          <w:tab/>
        </w:r>
        <w:r>
          <w:rPr>
            <w:webHidden/>
          </w:rPr>
          <w:fldChar w:fldCharType="begin"/>
        </w:r>
        <w:r>
          <w:rPr>
            <w:webHidden/>
          </w:rPr>
          <w:instrText xml:space="preserve"> PAGEREF _Toc4579353 \h </w:instrText>
        </w:r>
        <w:r>
          <w:rPr>
            <w:webHidden/>
          </w:rPr>
        </w:r>
        <w:r>
          <w:rPr>
            <w:webHidden/>
          </w:rPr>
          <w:fldChar w:fldCharType="separate"/>
        </w:r>
        <w:r>
          <w:rPr>
            <w:webHidden/>
          </w:rPr>
          <w:t>4</w:t>
        </w:r>
        <w:r>
          <w:rPr>
            <w:webHidden/>
          </w:rPr>
          <w:fldChar w:fldCharType="end"/>
        </w:r>
      </w:hyperlink>
    </w:p>
    <w:p w14:paraId="05D488B9" w14:textId="37A0B0C8" w:rsidR="008A3E69" w:rsidRDefault="008A3E69">
      <w:pPr>
        <w:pStyle w:val="Inhopg1"/>
        <w:rPr>
          <w:rFonts w:asciiTheme="minorHAnsi" w:eastAsiaTheme="minorEastAsia" w:hAnsiTheme="minorHAnsi" w:cstheme="minorBidi"/>
          <w:b w:val="0"/>
          <w:sz w:val="22"/>
          <w:szCs w:val="22"/>
          <w:lang w:val="nl-BE" w:eastAsia="nl-BE"/>
        </w:rPr>
      </w:pPr>
      <w:hyperlink w:anchor="_Toc4579354" w:history="1">
        <w:r w:rsidRPr="009E4BAF">
          <w:rPr>
            <w:rStyle w:val="Hyperlink"/>
            <w:caps/>
          </w:rPr>
          <w:t>Deel 4. CONTROLE EN SANCTIONERING</w:t>
        </w:r>
        <w:r>
          <w:rPr>
            <w:webHidden/>
          </w:rPr>
          <w:tab/>
        </w:r>
        <w:r>
          <w:rPr>
            <w:webHidden/>
          </w:rPr>
          <w:fldChar w:fldCharType="begin"/>
        </w:r>
        <w:r>
          <w:rPr>
            <w:webHidden/>
          </w:rPr>
          <w:instrText xml:space="preserve"> PAGEREF _Toc4579354 \h </w:instrText>
        </w:r>
        <w:r>
          <w:rPr>
            <w:webHidden/>
          </w:rPr>
        </w:r>
        <w:r>
          <w:rPr>
            <w:webHidden/>
          </w:rPr>
          <w:fldChar w:fldCharType="separate"/>
        </w:r>
        <w:r>
          <w:rPr>
            <w:webHidden/>
          </w:rPr>
          <w:t>4</w:t>
        </w:r>
        <w:r>
          <w:rPr>
            <w:webHidden/>
          </w:rPr>
          <w:fldChar w:fldCharType="end"/>
        </w:r>
      </w:hyperlink>
    </w:p>
    <w:p w14:paraId="458DD7AE" w14:textId="7F55ADC7" w:rsidR="008A3E69" w:rsidRDefault="008A3E69">
      <w:pPr>
        <w:pStyle w:val="Inhopg2"/>
        <w:rPr>
          <w:rFonts w:asciiTheme="minorHAnsi" w:eastAsiaTheme="minorEastAsia" w:hAnsiTheme="minorHAnsi" w:cstheme="minorBidi"/>
          <w:i w:val="0"/>
          <w:snapToGrid/>
          <w:sz w:val="22"/>
          <w:szCs w:val="22"/>
          <w:lang w:val="nl-BE" w:eastAsia="nl-BE"/>
        </w:rPr>
      </w:pPr>
      <w:hyperlink w:anchor="_Toc4579355" w:history="1">
        <w:r w:rsidRPr="009E4BAF">
          <w:rPr>
            <w:rStyle w:val="Hyperlink"/>
          </w:rPr>
          <w:t>Artikel 15 – verbintenis tot naleving</w:t>
        </w:r>
        <w:r>
          <w:rPr>
            <w:webHidden/>
          </w:rPr>
          <w:tab/>
        </w:r>
        <w:r>
          <w:rPr>
            <w:webHidden/>
          </w:rPr>
          <w:fldChar w:fldCharType="begin"/>
        </w:r>
        <w:r>
          <w:rPr>
            <w:webHidden/>
          </w:rPr>
          <w:instrText xml:space="preserve"> PAGEREF _Toc4579355 \h </w:instrText>
        </w:r>
        <w:r>
          <w:rPr>
            <w:webHidden/>
          </w:rPr>
        </w:r>
        <w:r>
          <w:rPr>
            <w:webHidden/>
          </w:rPr>
          <w:fldChar w:fldCharType="separate"/>
        </w:r>
        <w:r>
          <w:rPr>
            <w:webHidden/>
          </w:rPr>
          <w:t>4</w:t>
        </w:r>
        <w:r>
          <w:rPr>
            <w:webHidden/>
          </w:rPr>
          <w:fldChar w:fldCharType="end"/>
        </w:r>
      </w:hyperlink>
    </w:p>
    <w:p w14:paraId="6D980A12" w14:textId="1ED91B63" w:rsidR="008A3E69" w:rsidRDefault="008A3E69">
      <w:pPr>
        <w:pStyle w:val="Inhopg2"/>
        <w:rPr>
          <w:rFonts w:asciiTheme="minorHAnsi" w:eastAsiaTheme="minorEastAsia" w:hAnsiTheme="minorHAnsi" w:cstheme="minorBidi"/>
          <w:i w:val="0"/>
          <w:snapToGrid/>
          <w:sz w:val="22"/>
          <w:szCs w:val="22"/>
          <w:lang w:val="nl-BE" w:eastAsia="nl-BE"/>
        </w:rPr>
      </w:pPr>
      <w:hyperlink w:anchor="_Toc4579356" w:history="1">
        <w:r w:rsidRPr="009E4BAF">
          <w:rPr>
            <w:rStyle w:val="Hyperlink"/>
          </w:rPr>
          <w:t>Artikel 16 – deontologische commissie</w:t>
        </w:r>
        <w:r>
          <w:rPr>
            <w:webHidden/>
          </w:rPr>
          <w:tab/>
        </w:r>
        <w:r>
          <w:rPr>
            <w:webHidden/>
          </w:rPr>
          <w:fldChar w:fldCharType="begin"/>
        </w:r>
        <w:r>
          <w:rPr>
            <w:webHidden/>
          </w:rPr>
          <w:instrText xml:space="preserve"> PAGEREF _Toc4579356 \h </w:instrText>
        </w:r>
        <w:r>
          <w:rPr>
            <w:webHidden/>
          </w:rPr>
        </w:r>
        <w:r>
          <w:rPr>
            <w:webHidden/>
          </w:rPr>
          <w:fldChar w:fldCharType="separate"/>
        </w:r>
        <w:r>
          <w:rPr>
            <w:webHidden/>
          </w:rPr>
          <w:t>4</w:t>
        </w:r>
        <w:r>
          <w:rPr>
            <w:webHidden/>
          </w:rPr>
          <w:fldChar w:fldCharType="end"/>
        </w:r>
      </w:hyperlink>
    </w:p>
    <w:p w14:paraId="7CC748E6" w14:textId="23AEB169" w:rsidR="008A3E69" w:rsidRDefault="008A3E69">
      <w:pPr>
        <w:pStyle w:val="Inhopg2"/>
        <w:rPr>
          <w:rFonts w:asciiTheme="minorHAnsi" w:eastAsiaTheme="minorEastAsia" w:hAnsiTheme="minorHAnsi" w:cstheme="minorBidi"/>
          <w:i w:val="0"/>
          <w:snapToGrid/>
          <w:sz w:val="22"/>
          <w:szCs w:val="22"/>
          <w:lang w:val="nl-BE" w:eastAsia="nl-BE"/>
        </w:rPr>
      </w:pPr>
      <w:hyperlink w:anchor="_Toc4579357" w:history="1">
        <w:r w:rsidRPr="009E4BAF">
          <w:rPr>
            <w:rStyle w:val="Hyperlink"/>
          </w:rPr>
          <w:t>Artikel 17 – samenstelling deontologische commissie</w:t>
        </w:r>
        <w:r>
          <w:rPr>
            <w:webHidden/>
          </w:rPr>
          <w:tab/>
        </w:r>
        <w:r>
          <w:rPr>
            <w:webHidden/>
          </w:rPr>
          <w:fldChar w:fldCharType="begin"/>
        </w:r>
        <w:r>
          <w:rPr>
            <w:webHidden/>
          </w:rPr>
          <w:instrText xml:space="preserve"> PAGEREF _Toc4579357 \h </w:instrText>
        </w:r>
        <w:r>
          <w:rPr>
            <w:webHidden/>
          </w:rPr>
        </w:r>
        <w:r>
          <w:rPr>
            <w:webHidden/>
          </w:rPr>
          <w:fldChar w:fldCharType="separate"/>
        </w:r>
        <w:r>
          <w:rPr>
            <w:webHidden/>
          </w:rPr>
          <w:t>4</w:t>
        </w:r>
        <w:r>
          <w:rPr>
            <w:webHidden/>
          </w:rPr>
          <w:fldChar w:fldCharType="end"/>
        </w:r>
      </w:hyperlink>
    </w:p>
    <w:p w14:paraId="0444A335" w14:textId="785DA45E" w:rsidR="008A3E69" w:rsidRDefault="008A3E69">
      <w:pPr>
        <w:pStyle w:val="Inhopg2"/>
        <w:rPr>
          <w:rFonts w:asciiTheme="minorHAnsi" w:eastAsiaTheme="minorEastAsia" w:hAnsiTheme="minorHAnsi" w:cstheme="minorBidi"/>
          <w:i w:val="0"/>
          <w:snapToGrid/>
          <w:sz w:val="22"/>
          <w:szCs w:val="22"/>
          <w:lang w:val="nl-BE" w:eastAsia="nl-BE"/>
        </w:rPr>
      </w:pPr>
      <w:hyperlink w:anchor="_Toc4579358" w:history="1">
        <w:r w:rsidRPr="009E4BAF">
          <w:rPr>
            <w:rStyle w:val="Hyperlink"/>
          </w:rPr>
          <w:t>Artikel 18 – sanctie</w:t>
        </w:r>
        <w:r>
          <w:rPr>
            <w:webHidden/>
          </w:rPr>
          <w:tab/>
        </w:r>
        <w:r>
          <w:rPr>
            <w:webHidden/>
          </w:rPr>
          <w:fldChar w:fldCharType="begin"/>
        </w:r>
        <w:r>
          <w:rPr>
            <w:webHidden/>
          </w:rPr>
          <w:instrText xml:space="preserve"> PAGEREF _Toc4579358 \h </w:instrText>
        </w:r>
        <w:r>
          <w:rPr>
            <w:webHidden/>
          </w:rPr>
        </w:r>
        <w:r>
          <w:rPr>
            <w:webHidden/>
          </w:rPr>
          <w:fldChar w:fldCharType="separate"/>
        </w:r>
        <w:r>
          <w:rPr>
            <w:webHidden/>
          </w:rPr>
          <w:t>5</w:t>
        </w:r>
        <w:r>
          <w:rPr>
            <w:webHidden/>
          </w:rPr>
          <w:fldChar w:fldCharType="end"/>
        </w:r>
      </w:hyperlink>
    </w:p>
    <w:p w14:paraId="5835E146" w14:textId="68CB7018" w:rsidR="008A3E69" w:rsidRDefault="008A3E69">
      <w:pPr>
        <w:pStyle w:val="Inhopg1"/>
        <w:rPr>
          <w:rFonts w:asciiTheme="minorHAnsi" w:eastAsiaTheme="minorEastAsia" w:hAnsiTheme="minorHAnsi" w:cstheme="minorBidi"/>
          <w:b w:val="0"/>
          <w:sz w:val="22"/>
          <w:szCs w:val="22"/>
          <w:lang w:val="nl-BE" w:eastAsia="nl-BE"/>
        </w:rPr>
      </w:pPr>
      <w:hyperlink w:anchor="_Toc4579359" w:history="1">
        <w:r w:rsidRPr="009E4BAF">
          <w:rPr>
            <w:rStyle w:val="Hyperlink"/>
            <w:caps/>
          </w:rPr>
          <w:t>DEEL 5 – HANDTEKENINGEN</w:t>
        </w:r>
        <w:r>
          <w:rPr>
            <w:webHidden/>
          </w:rPr>
          <w:tab/>
        </w:r>
        <w:r>
          <w:rPr>
            <w:webHidden/>
          </w:rPr>
          <w:fldChar w:fldCharType="begin"/>
        </w:r>
        <w:r>
          <w:rPr>
            <w:webHidden/>
          </w:rPr>
          <w:instrText xml:space="preserve"> PAGEREF _Toc4579359 \h </w:instrText>
        </w:r>
        <w:r>
          <w:rPr>
            <w:webHidden/>
          </w:rPr>
        </w:r>
        <w:r>
          <w:rPr>
            <w:webHidden/>
          </w:rPr>
          <w:fldChar w:fldCharType="separate"/>
        </w:r>
        <w:r>
          <w:rPr>
            <w:webHidden/>
          </w:rPr>
          <w:t>5</w:t>
        </w:r>
        <w:r>
          <w:rPr>
            <w:webHidden/>
          </w:rPr>
          <w:fldChar w:fldCharType="end"/>
        </w:r>
      </w:hyperlink>
    </w:p>
    <w:p w14:paraId="26252C12" w14:textId="1A4B908C" w:rsidR="00857613" w:rsidRDefault="00857613">
      <w:pPr>
        <w:pStyle w:val="Kop1"/>
        <w:rPr>
          <w:rFonts w:ascii="Verdana" w:hAnsi="Verdana"/>
          <w:sz w:val="22"/>
          <w:u w:val="single"/>
        </w:rPr>
      </w:pPr>
      <w:r>
        <w:rPr>
          <w:rFonts w:ascii="Verdana" w:hAnsi="Verdana"/>
          <w:sz w:val="20"/>
          <w:szCs w:val="20"/>
          <w:u w:val="single"/>
        </w:rPr>
        <w:fldChar w:fldCharType="end"/>
      </w:r>
    </w:p>
    <w:p w14:paraId="7B186469" w14:textId="77777777" w:rsidR="00857613" w:rsidRDefault="00857613">
      <w:pPr>
        <w:pStyle w:val="Kop1"/>
        <w:rPr>
          <w:rFonts w:ascii="Verdana" w:hAnsi="Verdana"/>
          <w:caps/>
          <w:sz w:val="22"/>
          <w:szCs w:val="22"/>
          <w:u w:val="single"/>
        </w:rPr>
      </w:pPr>
      <w:bookmarkStart w:id="1" w:name="_Toc4579337"/>
      <w:r>
        <w:rPr>
          <w:rFonts w:ascii="Verdana" w:hAnsi="Verdana"/>
          <w:caps/>
          <w:sz w:val="22"/>
          <w:szCs w:val="22"/>
          <w:u w:val="single"/>
        </w:rPr>
        <w:t>DEEL 1 - Het statuut van de code voor politici</w:t>
      </w:r>
      <w:bookmarkEnd w:id="1"/>
    </w:p>
    <w:p w14:paraId="71D100FC" w14:textId="387DA6D1" w:rsidR="00857613" w:rsidRDefault="00857613">
      <w:pPr>
        <w:pStyle w:val="Kop2"/>
        <w:rPr>
          <w:rFonts w:ascii="Verdana" w:hAnsi="Verdana"/>
          <w:snapToGrid w:val="0"/>
          <w:sz w:val="20"/>
          <w:szCs w:val="20"/>
        </w:rPr>
      </w:pPr>
      <w:bookmarkStart w:id="2" w:name="_Toc4579338"/>
      <w:r>
        <w:rPr>
          <w:rFonts w:ascii="Verdana" w:hAnsi="Verdana"/>
          <w:snapToGrid w:val="0"/>
          <w:sz w:val="20"/>
          <w:szCs w:val="20"/>
        </w:rPr>
        <w:t>Artikel 1 – defin</w:t>
      </w:r>
      <w:r w:rsidR="006C510A">
        <w:rPr>
          <w:rFonts w:ascii="Verdana" w:hAnsi="Verdana"/>
          <w:snapToGrid w:val="0"/>
          <w:sz w:val="20"/>
          <w:szCs w:val="20"/>
        </w:rPr>
        <w:t>i</w:t>
      </w:r>
      <w:r>
        <w:rPr>
          <w:rFonts w:ascii="Verdana" w:hAnsi="Verdana"/>
          <w:snapToGrid w:val="0"/>
          <w:sz w:val="20"/>
          <w:szCs w:val="20"/>
        </w:rPr>
        <w:t>tie</w:t>
      </w:r>
      <w:bookmarkEnd w:id="2"/>
    </w:p>
    <w:p w14:paraId="7A1FB2AA" w14:textId="77777777" w:rsidR="00857613" w:rsidRDefault="00857613">
      <w:pPr>
        <w:jc w:val="both"/>
        <w:rPr>
          <w:rFonts w:ascii="Verdana" w:hAnsi="Verdana"/>
          <w:snapToGrid w:val="0"/>
          <w:sz w:val="20"/>
          <w:szCs w:val="20"/>
        </w:rPr>
      </w:pPr>
      <w:r>
        <w:rPr>
          <w:rFonts w:ascii="Verdana" w:hAnsi="Verdana"/>
          <w:snapToGrid w:val="0"/>
          <w:sz w:val="20"/>
          <w:szCs w:val="20"/>
        </w:rPr>
        <w:t>De deontologische code van raadsleden inzake dienstverlening aan de bevolking is het geheel van beginselen, gedragsregels en gebruiken die men als leidraad neemt. Deze code is ook van toepassing voor groepen van raadsleden die aan collectieve dienstverlening doen, alsook op medewerkers of derden die in opdracht van raadsleden handelen.</w:t>
      </w:r>
    </w:p>
    <w:p w14:paraId="2D160BFC" w14:textId="77777777" w:rsidR="00857613" w:rsidRDefault="00857613">
      <w:pPr>
        <w:pStyle w:val="Kop2"/>
        <w:rPr>
          <w:rFonts w:ascii="Verdana" w:hAnsi="Verdana"/>
          <w:snapToGrid w:val="0"/>
          <w:sz w:val="20"/>
        </w:rPr>
      </w:pPr>
      <w:bookmarkStart w:id="3" w:name="_Toc4579339"/>
      <w:r>
        <w:rPr>
          <w:rFonts w:ascii="Verdana" w:hAnsi="Verdana"/>
          <w:snapToGrid w:val="0"/>
          <w:sz w:val="20"/>
        </w:rPr>
        <w:t>Artikel 2 – doelstelling</w:t>
      </w:r>
      <w:bookmarkEnd w:id="3"/>
    </w:p>
    <w:p w14:paraId="41D68F80" w14:textId="77777777" w:rsidR="00857613" w:rsidRDefault="00857613">
      <w:pPr>
        <w:jc w:val="both"/>
        <w:rPr>
          <w:rFonts w:ascii="Verdana" w:hAnsi="Verdana"/>
          <w:snapToGrid w:val="0"/>
          <w:sz w:val="20"/>
          <w:szCs w:val="20"/>
        </w:rPr>
      </w:pPr>
      <w:r>
        <w:rPr>
          <w:rFonts w:ascii="Verdana" w:hAnsi="Verdana"/>
          <w:snapToGrid w:val="0"/>
          <w:sz w:val="20"/>
          <w:szCs w:val="20"/>
        </w:rPr>
        <w:t>De raadsleden moeten erover waken dat zij, ook buiten hun politieke activiteiten en in het licht van deze code, geen dienstverlenende activiteiten ontplooien die de eer en de waardigheid van hun mandaat kunnen schaden.</w:t>
      </w:r>
    </w:p>
    <w:p w14:paraId="5F4BE9E1" w14:textId="77777777" w:rsidR="00857613" w:rsidRDefault="00857613">
      <w:pPr>
        <w:pStyle w:val="Kop2"/>
        <w:rPr>
          <w:rFonts w:ascii="Verdana" w:hAnsi="Verdana"/>
          <w:sz w:val="20"/>
        </w:rPr>
      </w:pPr>
      <w:bookmarkStart w:id="4" w:name="_Toc4579340"/>
      <w:r>
        <w:rPr>
          <w:rFonts w:ascii="Verdana" w:hAnsi="Verdana"/>
          <w:snapToGrid w:val="0"/>
          <w:sz w:val="20"/>
        </w:rPr>
        <w:t>Artikel 3 –</w:t>
      </w:r>
      <w:r>
        <w:rPr>
          <w:rFonts w:ascii="Verdana" w:hAnsi="Verdana"/>
          <w:sz w:val="20"/>
        </w:rPr>
        <w:t xml:space="preserve"> ondertekening</w:t>
      </w:r>
      <w:bookmarkEnd w:id="4"/>
    </w:p>
    <w:p w14:paraId="7E584868" w14:textId="77777777" w:rsidR="00857613" w:rsidRDefault="00857613">
      <w:pPr>
        <w:jc w:val="both"/>
        <w:rPr>
          <w:rFonts w:ascii="Verdana" w:hAnsi="Verdana"/>
          <w:sz w:val="20"/>
          <w:szCs w:val="20"/>
        </w:rPr>
      </w:pPr>
      <w:r>
        <w:rPr>
          <w:rFonts w:ascii="Verdana" w:hAnsi="Verdana"/>
          <w:sz w:val="20"/>
          <w:szCs w:val="20"/>
        </w:rPr>
        <w:t xml:space="preserve">De kandidaten raadsleden bij de gemeente- en provincieraadsverkiezingen verklaren bij de ondertekening van de voordrachtsakte kennis te hebben genomen van de basiscode deontologie voor gemeente- en provincieraden. </w:t>
      </w:r>
    </w:p>
    <w:p w14:paraId="1BDEBEA9" w14:textId="77777777" w:rsidR="00857613" w:rsidRDefault="00857613">
      <w:pPr>
        <w:jc w:val="both"/>
        <w:rPr>
          <w:rFonts w:ascii="Verdana" w:hAnsi="Verdana"/>
          <w:sz w:val="20"/>
          <w:szCs w:val="20"/>
        </w:rPr>
      </w:pPr>
    </w:p>
    <w:p w14:paraId="4B451D0E" w14:textId="77777777" w:rsidR="00857613" w:rsidRDefault="00857613">
      <w:pPr>
        <w:jc w:val="both"/>
        <w:rPr>
          <w:rFonts w:ascii="Verdana" w:hAnsi="Verdana"/>
          <w:sz w:val="20"/>
          <w:szCs w:val="20"/>
        </w:rPr>
      </w:pPr>
    </w:p>
    <w:p w14:paraId="35787CC0" w14:textId="77777777" w:rsidR="00857613" w:rsidRDefault="00857613">
      <w:pPr>
        <w:jc w:val="both"/>
        <w:rPr>
          <w:rFonts w:ascii="Verdana" w:hAnsi="Verdana"/>
          <w:sz w:val="20"/>
          <w:szCs w:val="20"/>
        </w:rPr>
      </w:pPr>
    </w:p>
    <w:p w14:paraId="6A56A358" w14:textId="77777777" w:rsidR="00857613" w:rsidRDefault="00857613">
      <w:pPr>
        <w:jc w:val="both"/>
        <w:rPr>
          <w:rFonts w:ascii="Verdana" w:hAnsi="Verdana"/>
          <w:sz w:val="20"/>
          <w:szCs w:val="20"/>
        </w:rPr>
      </w:pPr>
    </w:p>
    <w:p w14:paraId="18C55FC2" w14:textId="77777777" w:rsidR="00857613" w:rsidRDefault="00857613">
      <w:pPr>
        <w:jc w:val="both"/>
        <w:rPr>
          <w:rFonts w:ascii="Verdana" w:hAnsi="Verdana"/>
          <w:sz w:val="20"/>
          <w:szCs w:val="20"/>
        </w:rPr>
      </w:pPr>
    </w:p>
    <w:p w14:paraId="66F74175" w14:textId="77777777" w:rsidR="00857613" w:rsidRDefault="00857613">
      <w:pPr>
        <w:pStyle w:val="Kop1"/>
        <w:rPr>
          <w:rFonts w:ascii="Verdana" w:hAnsi="Verdana"/>
          <w:caps/>
          <w:sz w:val="22"/>
          <w:szCs w:val="22"/>
          <w:u w:val="single"/>
        </w:rPr>
      </w:pPr>
      <w:bookmarkStart w:id="5" w:name="_Toc4579341"/>
      <w:r>
        <w:rPr>
          <w:rFonts w:ascii="Verdana" w:hAnsi="Verdana"/>
          <w:caps/>
          <w:sz w:val="22"/>
          <w:szCs w:val="22"/>
          <w:u w:val="single"/>
        </w:rPr>
        <w:lastRenderedPageBreak/>
        <w:t>DEEL 2. Algemene plichten, doelstellingen en uitgangspunten</w:t>
      </w:r>
      <w:bookmarkEnd w:id="5"/>
    </w:p>
    <w:p w14:paraId="3697173F" w14:textId="77777777" w:rsidR="00857613" w:rsidRDefault="00857613">
      <w:pPr>
        <w:pStyle w:val="Kop2"/>
        <w:rPr>
          <w:rFonts w:ascii="Verdana" w:hAnsi="Verdana"/>
          <w:snapToGrid w:val="0"/>
          <w:sz w:val="20"/>
        </w:rPr>
      </w:pPr>
      <w:bookmarkStart w:id="6" w:name="_Toc4579342"/>
      <w:r>
        <w:rPr>
          <w:rFonts w:ascii="Verdana" w:hAnsi="Verdana"/>
          <w:snapToGrid w:val="0"/>
          <w:sz w:val="20"/>
        </w:rPr>
        <w:t>Artikel 4 – hantering termen</w:t>
      </w:r>
      <w:bookmarkEnd w:id="6"/>
    </w:p>
    <w:p w14:paraId="5D639B62" w14:textId="77777777" w:rsidR="00857613" w:rsidRDefault="00857613">
      <w:pPr>
        <w:jc w:val="both"/>
        <w:rPr>
          <w:rFonts w:ascii="Verdana" w:hAnsi="Verdana"/>
          <w:snapToGrid w:val="0"/>
          <w:sz w:val="20"/>
          <w:szCs w:val="20"/>
        </w:rPr>
      </w:pPr>
      <w:r>
        <w:rPr>
          <w:rFonts w:ascii="Verdana" w:hAnsi="Verdana"/>
          <w:snapToGrid w:val="0"/>
          <w:sz w:val="20"/>
          <w:szCs w:val="20"/>
        </w:rPr>
        <w:t>De raadsleden zullen voor de omschrijving van hun eigen dienstverleningsactiviteiten geen termen gebruiken die verwarring creëren met officieel door overheden ingestelde dienstverlening. (dus bijvoorbeeld niet de termen "ombudsman", "ombudsvrouw", "</w:t>
      </w:r>
      <w:proofErr w:type="spellStart"/>
      <w:r>
        <w:rPr>
          <w:rFonts w:ascii="Verdana" w:hAnsi="Verdana"/>
          <w:snapToGrid w:val="0"/>
          <w:sz w:val="20"/>
          <w:szCs w:val="20"/>
        </w:rPr>
        <w:t>ombudsdienst</w:t>
      </w:r>
      <w:proofErr w:type="spellEnd"/>
      <w:r>
        <w:rPr>
          <w:rFonts w:ascii="Verdana" w:hAnsi="Verdana"/>
          <w:snapToGrid w:val="0"/>
          <w:sz w:val="20"/>
          <w:szCs w:val="20"/>
        </w:rPr>
        <w:t>", "klachtendienst", "klachtenmanagement" of andere vergelijkbare samenstellingen met "</w:t>
      </w:r>
      <w:proofErr w:type="spellStart"/>
      <w:r>
        <w:rPr>
          <w:rFonts w:ascii="Verdana" w:hAnsi="Verdana"/>
          <w:snapToGrid w:val="0"/>
          <w:sz w:val="20"/>
          <w:szCs w:val="20"/>
        </w:rPr>
        <w:t>ombud</w:t>
      </w:r>
      <w:proofErr w:type="spellEnd"/>
      <w:r>
        <w:rPr>
          <w:rFonts w:ascii="Verdana" w:hAnsi="Verdana"/>
          <w:snapToGrid w:val="0"/>
          <w:sz w:val="20"/>
          <w:szCs w:val="20"/>
        </w:rPr>
        <w:t>" en "klacht").</w:t>
      </w:r>
    </w:p>
    <w:p w14:paraId="514CF417" w14:textId="77777777" w:rsidR="00857613" w:rsidRDefault="00857613">
      <w:pPr>
        <w:pStyle w:val="Kop2"/>
        <w:rPr>
          <w:rFonts w:ascii="Verdana" w:hAnsi="Verdana"/>
          <w:snapToGrid w:val="0"/>
          <w:sz w:val="20"/>
        </w:rPr>
      </w:pPr>
      <w:bookmarkStart w:id="7" w:name="_Toc4579343"/>
      <w:r>
        <w:rPr>
          <w:rFonts w:ascii="Verdana" w:hAnsi="Verdana"/>
          <w:snapToGrid w:val="0"/>
          <w:sz w:val="20"/>
        </w:rPr>
        <w:t>Artikel 5 – prioriteit algemeen belang</w:t>
      </w:r>
      <w:bookmarkEnd w:id="7"/>
    </w:p>
    <w:p w14:paraId="103CE901" w14:textId="77777777" w:rsidR="00857613" w:rsidRDefault="00857613">
      <w:pPr>
        <w:jc w:val="both"/>
        <w:rPr>
          <w:rFonts w:ascii="Verdana" w:hAnsi="Verdana"/>
          <w:snapToGrid w:val="0"/>
          <w:sz w:val="20"/>
          <w:szCs w:val="20"/>
        </w:rPr>
      </w:pPr>
      <w:r>
        <w:rPr>
          <w:rFonts w:ascii="Verdana" w:hAnsi="Verdana"/>
          <w:snapToGrid w:val="0"/>
          <w:sz w:val="20"/>
          <w:szCs w:val="20"/>
        </w:rPr>
        <w:t>De raadsleden dienen voorrang te geven aan het algemeen belang boven particuliere belangen en zij vermijden elke vorm van belangenvermenging.</w:t>
      </w:r>
    </w:p>
    <w:p w14:paraId="0BC38C41" w14:textId="77777777" w:rsidR="00857613" w:rsidRDefault="00857613">
      <w:pPr>
        <w:pStyle w:val="Kop2"/>
        <w:rPr>
          <w:rFonts w:ascii="Verdana" w:hAnsi="Verdana"/>
          <w:snapToGrid w:val="0"/>
          <w:sz w:val="20"/>
        </w:rPr>
      </w:pPr>
      <w:bookmarkStart w:id="8" w:name="_Toc4579344"/>
      <w:r>
        <w:rPr>
          <w:rFonts w:ascii="Verdana" w:hAnsi="Verdana"/>
          <w:snapToGrid w:val="0"/>
          <w:sz w:val="20"/>
        </w:rPr>
        <w:t>Artikel 6 – onbezoldigde dienstverlening</w:t>
      </w:r>
      <w:bookmarkEnd w:id="8"/>
    </w:p>
    <w:p w14:paraId="67E858A0" w14:textId="77777777" w:rsidR="00857613" w:rsidRDefault="00857613">
      <w:pPr>
        <w:jc w:val="both"/>
        <w:rPr>
          <w:rFonts w:ascii="Verdana" w:hAnsi="Verdana"/>
          <w:b/>
          <w:i/>
          <w:snapToGrid w:val="0"/>
          <w:sz w:val="20"/>
          <w:szCs w:val="20"/>
        </w:rPr>
      </w:pPr>
      <w:r>
        <w:rPr>
          <w:rFonts w:ascii="Verdana" w:hAnsi="Verdana"/>
          <w:snapToGrid w:val="0"/>
          <w:sz w:val="20"/>
          <w:szCs w:val="20"/>
        </w:rPr>
        <w:t>Elke vorm van rechtstreekse dienstverlening, informatiebemiddeling of doorverwijzing gebeurt zonder enige materiële of geldelijke tegenprestatie van welke aard ook.</w:t>
      </w:r>
    </w:p>
    <w:p w14:paraId="579CE91C" w14:textId="77777777" w:rsidR="00857613" w:rsidRDefault="00857613">
      <w:pPr>
        <w:pStyle w:val="Kop2"/>
        <w:rPr>
          <w:rFonts w:ascii="Verdana" w:hAnsi="Verdana"/>
          <w:snapToGrid w:val="0"/>
          <w:sz w:val="20"/>
        </w:rPr>
      </w:pPr>
      <w:bookmarkStart w:id="9" w:name="_Toc4579345"/>
      <w:r>
        <w:rPr>
          <w:rFonts w:ascii="Verdana" w:hAnsi="Verdana"/>
          <w:snapToGrid w:val="0"/>
          <w:sz w:val="20"/>
        </w:rPr>
        <w:t>Artikel 7 – respect rechten van de burgers</w:t>
      </w:r>
      <w:bookmarkEnd w:id="9"/>
    </w:p>
    <w:p w14:paraId="39A7C218" w14:textId="77777777" w:rsidR="00857613" w:rsidRDefault="00857613">
      <w:pPr>
        <w:jc w:val="both"/>
        <w:rPr>
          <w:rFonts w:ascii="Verdana" w:hAnsi="Verdana"/>
          <w:snapToGrid w:val="0"/>
          <w:sz w:val="20"/>
          <w:szCs w:val="20"/>
        </w:rPr>
      </w:pPr>
      <w:r>
        <w:rPr>
          <w:rFonts w:ascii="Verdana" w:hAnsi="Verdana"/>
          <w:snapToGrid w:val="0"/>
          <w:sz w:val="20"/>
          <w:szCs w:val="20"/>
        </w:rPr>
        <w:t>De raadsleden moeten op dezelfde gewetensvolle manier ten dienste staan van alle burgers die op hun dienstverlening een beroep doen, zonder onderscheid van geslacht, huidskleur, afstamming, sociale stand, nationaliteit, filosofische overtuiging of partijvoorkeur.</w:t>
      </w:r>
    </w:p>
    <w:p w14:paraId="73CDF446" w14:textId="77777777" w:rsidR="00857613" w:rsidRDefault="00857613">
      <w:pPr>
        <w:pStyle w:val="Kop2"/>
        <w:rPr>
          <w:rFonts w:ascii="Verdana" w:hAnsi="Verdana"/>
          <w:snapToGrid w:val="0"/>
          <w:sz w:val="20"/>
        </w:rPr>
      </w:pPr>
      <w:bookmarkStart w:id="10" w:name="_Toc4579346"/>
      <w:r>
        <w:rPr>
          <w:rFonts w:ascii="Verdana" w:hAnsi="Verdana"/>
          <w:snapToGrid w:val="0"/>
          <w:sz w:val="20"/>
        </w:rPr>
        <w:t>Artikel 8 – tussenkomsten</w:t>
      </w:r>
      <w:bookmarkEnd w:id="10"/>
    </w:p>
    <w:p w14:paraId="3F210E4D" w14:textId="77777777" w:rsidR="00857613" w:rsidRDefault="00857613">
      <w:pPr>
        <w:jc w:val="both"/>
        <w:rPr>
          <w:rFonts w:ascii="Verdana" w:hAnsi="Verdana"/>
          <w:snapToGrid w:val="0"/>
          <w:sz w:val="20"/>
          <w:szCs w:val="20"/>
        </w:rPr>
      </w:pPr>
      <w:r>
        <w:rPr>
          <w:rFonts w:ascii="Verdana" w:hAnsi="Verdana"/>
          <w:snapToGrid w:val="0"/>
          <w:sz w:val="20"/>
          <w:szCs w:val="20"/>
        </w:rPr>
        <w:t>Tussenkomsten bij gerechtelijke en politionele instanties om de juridische besluitvorming in individuele dossiers te beïnvloeden zijn verboden .</w:t>
      </w:r>
    </w:p>
    <w:p w14:paraId="722E76F6" w14:textId="77777777" w:rsidR="00857613" w:rsidRDefault="00857613">
      <w:pPr>
        <w:jc w:val="both"/>
        <w:rPr>
          <w:rFonts w:ascii="Verdana" w:hAnsi="Verdana"/>
          <w:sz w:val="20"/>
          <w:szCs w:val="20"/>
        </w:rPr>
      </w:pPr>
    </w:p>
    <w:p w14:paraId="7B96B725" w14:textId="77777777" w:rsidR="00857613" w:rsidRDefault="00857613">
      <w:pPr>
        <w:pStyle w:val="Kop1"/>
        <w:rPr>
          <w:rFonts w:ascii="Verdana" w:hAnsi="Verdana"/>
          <w:caps/>
          <w:sz w:val="22"/>
          <w:szCs w:val="22"/>
          <w:u w:val="single"/>
        </w:rPr>
      </w:pPr>
      <w:bookmarkStart w:id="11" w:name="_Toc4579347"/>
      <w:r>
        <w:rPr>
          <w:rFonts w:ascii="Verdana" w:hAnsi="Verdana"/>
          <w:caps/>
          <w:sz w:val="22"/>
          <w:szCs w:val="22"/>
          <w:u w:val="single"/>
        </w:rPr>
        <w:t>DEEL 3. Specifieke bepalingen:</w:t>
      </w:r>
      <w:bookmarkEnd w:id="11"/>
    </w:p>
    <w:p w14:paraId="5FFD0957" w14:textId="77777777" w:rsidR="00857613" w:rsidRDefault="00857613">
      <w:pPr>
        <w:pStyle w:val="Kop2"/>
        <w:rPr>
          <w:rFonts w:ascii="Verdana" w:hAnsi="Verdana"/>
          <w:snapToGrid w:val="0"/>
          <w:sz w:val="20"/>
        </w:rPr>
      </w:pPr>
      <w:bookmarkStart w:id="12" w:name="_Toc4579348"/>
      <w:r>
        <w:rPr>
          <w:rFonts w:ascii="Verdana" w:hAnsi="Verdana"/>
          <w:snapToGrid w:val="0"/>
          <w:sz w:val="20"/>
        </w:rPr>
        <w:t>Artikel 9 – informatie behandeling</w:t>
      </w:r>
      <w:bookmarkEnd w:id="12"/>
    </w:p>
    <w:p w14:paraId="095C3509" w14:textId="77777777" w:rsidR="00857613" w:rsidRDefault="00857613">
      <w:pPr>
        <w:rPr>
          <w:rFonts w:ascii="Verdana" w:hAnsi="Verdana"/>
          <w:sz w:val="20"/>
          <w:szCs w:val="20"/>
        </w:rPr>
      </w:pPr>
      <w:r>
        <w:rPr>
          <w:rFonts w:ascii="Verdana" w:hAnsi="Verdana"/>
          <w:sz w:val="20"/>
          <w:szCs w:val="20"/>
        </w:rPr>
        <w:t>Het behoort tot de taak van het raadslid om informatie te ontvangen, informatie te verstrekken en om door te verwijzen naar de geëigende diensten of instanties. In het kader van hun algemene luisterbereidheid kunnen raadsleden de rol vervullen van vertrouwenspersoon.</w:t>
      </w:r>
    </w:p>
    <w:p w14:paraId="316B595C" w14:textId="77777777" w:rsidR="00857613" w:rsidRDefault="00857613">
      <w:pPr>
        <w:pStyle w:val="Kop2"/>
        <w:rPr>
          <w:rFonts w:ascii="Verdana" w:hAnsi="Verdana"/>
          <w:snapToGrid w:val="0"/>
          <w:sz w:val="20"/>
        </w:rPr>
      </w:pPr>
      <w:bookmarkStart w:id="13" w:name="_Toc4579349"/>
      <w:r>
        <w:rPr>
          <w:rFonts w:ascii="Verdana" w:hAnsi="Verdana"/>
          <w:snapToGrid w:val="0"/>
          <w:sz w:val="20"/>
        </w:rPr>
        <w:t>Artikel 10 – begeleiding burgers</w:t>
      </w:r>
      <w:bookmarkEnd w:id="13"/>
    </w:p>
    <w:p w14:paraId="7E4FF602" w14:textId="77777777" w:rsidR="00857613" w:rsidRDefault="00857613">
      <w:pPr>
        <w:jc w:val="both"/>
        <w:rPr>
          <w:rFonts w:ascii="Verdana" w:hAnsi="Verdana"/>
          <w:sz w:val="20"/>
          <w:szCs w:val="20"/>
        </w:rPr>
      </w:pPr>
      <w:r>
        <w:rPr>
          <w:rFonts w:ascii="Verdana" w:hAnsi="Verdana"/>
          <w:sz w:val="20"/>
          <w:szCs w:val="20"/>
        </w:rPr>
        <w:t xml:space="preserve">Raadsleden ondersteunen en begeleiden de burgers in hun relatie met de administratie of met betrokken instanties. </w:t>
      </w:r>
    </w:p>
    <w:p w14:paraId="5C9DB7E4" w14:textId="77777777" w:rsidR="00857613" w:rsidRDefault="00857613">
      <w:pPr>
        <w:jc w:val="both"/>
        <w:rPr>
          <w:rFonts w:ascii="Verdana" w:hAnsi="Verdana"/>
          <w:sz w:val="20"/>
          <w:szCs w:val="20"/>
        </w:rPr>
      </w:pPr>
    </w:p>
    <w:p w14:paraId="29A487C3" w14:textId="77777777" w:rsidR="00857613" w:rsidRDefault="00857613">
      <w:pPr>
        <w:jc w:val="both"/>
        <w:rPr>
          <w:rFonts w:ascii="Verdana" w:hAnsi="Verdana"/>
          <w:snapToGrid w:val="0"/>
          <w:sz w:val="20"/>
          <w:szCs w:val="20"/>
        </w:rPr>
      </w:pPr>
      <w:r>
        <w:rPr>
          <w:rFonts w:ascii="Verdana" w:hAnsi="Verdana"/>
          <w:snapToGrid w:val="0"/>
          <w:sz w:val="20"/>
          <w:szCs w:val="20"/>
        </w:rPr>
        <w:t>De raadsleden hebben het recht vragen te stellen naar concrete toelichting bij de bestaande regelgeving of een genomen beslissing, naar de stand van zaken van een dossier of de verantwoording voor het niet-beantwoorden van vragen door de burger gesteld.</w:t>
      </w:r>
    </w:p>
    <w:p w14:paraId="27F906D4" w14:textId="77777777" w:rsidR="00857613" w:rsidRDefault="00857613">
      <w:pPr>
        <w:jc w:val="both"/>
        <w:rPr>
          <w:rFonts w:ascii="Verdana" w:hAnsi="Verdana"/>
          <w:b/>
          <w:snapToGrid w:val="0"/>
          <w:sz w:val="20"/>
          <w:szCs w:val="20"/>
          <w:u w:val="single"/>
        </w:rPr>
      </w:pPr>
    </w:p>
    <w:p w14:paraId="1787B554" w14:textId="77777777" w:rsidR="00857613" w:rsidRDefault="00857613">
      <w:pPr>
        <w:jc w:val="both"/>
        <w:rPr>
          <w:rFonts w:ascii="Verdana" w:hAnsi="Verdana"/>
          <w:snapToGrid w:val="0"/>
          <w:sz w:val="20"/>
          <w:szCs w:val="20"/>
        </w:rPr>
      </w:pPr>
      <w:r>
        <w:rPr>
          <w:rFonts w:ascii="Verdana" w:hAnsi="Verdana"/>
          <w:snapToGrid w:val="0"/>
          <w:sz w:val="20"/>
          <w:szCs w:val="20"/>
        </w:rPr>
        <w:t>Bij het ondersteunen en begeleiden van vraagstellers, respecteren de raadsleden de onafhankelijkheid van de ambtenaren en diensten, de objectiviteit van de procedures en de termijnen die als normaal beschouwd worden voor de afhandeling van soortgelijke dossiers.</w:t>
      </w:r>
    </w:p>
    <w:p w14:paraId="4C4427D7" w14:textId="77777777" w:rsidR="00857613" w:rsidRDefault="00857613">
      <w:pPr>
        <w:pStyle w:val="Kop2"/>
        <w:rPr>
          <w:rFonts w:ascii="Verdana" w:hAnsi="Verdana"/>
          <w:snapToGrid w:val="0"/>
          <w:sz w:val="20"/>
        </w:rPr>
      </w:pPr>
      <w:bookmarkStart w:id="14" w:name="_Toc4579350"/>
      <w:r>
        <w:rPr>
          <w:rFonts w:ascii="Verdana" w:hAnsi="Verdana"/>
          <w:snapToGrid w:val="0"/>
          <w:sz w:val="20"/>
        </w:rPr>
        <w:t>Artikel 11 – bespoedigingstussenkomsten</w:t>
      </w:r>
      <w:bookmarkEnd w:id="14"/>
    </w:p>
    <w:p w14:paraId="6DB93227" w14:textId="77777777" w:rsidR="00857613" w:rsidRDefault="00857613">
      <w:pPr>
        <w:jc w:val="both"/>
        <w:rPr>
          <w:rFonts w:ascii="Verdana" w:hAnsi="Verdana"/>
          <w:sz w:val="20"/>
          <w:szCs w:val="20"/>
        </w:rPr>
      </w:pPr>
      <w:r>
        <w:rPr>
          <w:rFonts w:ascii="Verdana" w:hAnsi="Verdana"/>
          <w:snapToGrid w:val="0"/>
          <w:sz w:val="20"/>
          <w:szCs w:val="20"/>
        </w:rPr>
        <w:t xml:space="preserve">Bespoedigingstussenkomsten, waarbij raadsleden een administratieve of gerechtelijke procedure proberen te versnellen in dossiers die zonder die tussenkomst weliswaar een langere verwerkingsperiode, maar toch een gunstig gevolg zouden krijgen, zijn niet </w:t>
      </w:r>
      <w:r>
        <w:rPr>
          <w:rFonts w:ascii="Verdana" w:hAnsi="Verdana"/>
          <w:snapToGrid w:val="0"/>
          <w:sz w:val="20"/>
          <w:szCs w:val="20"/>
        </w:rPr>
        <w:lastRenderedPageBreak/>
        <w:t>toegestaan.</w:t>
      </w:r>
      <w:r>
        <w:rPr>
          <w:rFonts w:ascii="Verdana" w:hAnsi="Verdana"/>
          <w:b/>
          <w:i/>
          <w:snapToGrid w:val="0"/>
          <w:sz w:val="20"/>
          <w:szCs w:val="20"/>
        </w:rPr>
        <w:t xml:space="preserve"> </w:t>
      </w:r>
      <w:r>
        <w:rPr>
          <w:rFonts w:ascii="Verdana" w:hAnsi="Verdana"/>
          <w:sz w:val="20"/>
          <w:szCs w:val="20"/>
        </w:rPr>
        <w:t xml:space="preserve">Rechtmatige en gemotiveerde tussenkomsten binnen het wettelijke kader zijn toegestaan. </w:t>
      </w:r>
    </w:p>
    <w:p w14:paraId="74C5F435" w14:textId="77777777" w:rsidR="00857613" w:rsidRDefault="00857613">
      <w:pPr>
        <w:jc w:val="both"/>
        <w:rPr>
          <w:rFonts w:ascii="Verdana" w:hAnsi="Verdana"/>
          <w:sz w:val="20"/>
          <w:szCs w:val="20"/>
        </w:rPr>
      </w:pPr>
    </w:p>
    <w:p w14:paraId="693680C6" w14:textId="77777777" w:rsidR="00857613" w:rsidRDefault="00857613">
      <w:pPr>
        <w:jc w:val="both"/>
        <w:rPr>
          <w:rFonts w:ascii="Verdana" w:hAnsi="Verdana"/>
          <w:snapToGrid w:val="0"/>
          <w:sz w:val="20"/>
          <w:szCs w:val="20"/>
        </w:rPr>
      </w:pPr>
      <w:r>
        <w:rPr>
          <w:rFonts w:ascii="Verdana" w:hAnsi="Verdana"/>
          <w:snapToGrid w:val="0"/>
          <w:sz w:val="20"/>
          <w:szCs w:val="20"/>
        </w:rPr>
        <w:t>Tussenkomsten bij selectievoerende instanties, die tot doel hebben het bevorderen van kansen op benoeming, aanstelling en bevordering in de administratie zijn niet toegestaan.</w:t>
      </w:r>
    </w:p>
    <w:p w14:paraId="6AF71EF1" w14:textId="77777777" w:rsidR="00857613" w:rsidRDefault="00857613">
      <w:pPr>
        <w:pStyle w:val="Kop2"/>
        <w:rPr>
          <w:rFonts w:ascii="Verdana" w:hAnsi="Verdana"/>
          <w:snapToGrid w:val="0"/>
          <w:sz w:val="20"/>
        </w:rPr>
      </w:pPr>
      <w:bookmarkStart w:id="15" w:name="_Toc4579351"/>
      <w:r>
        <w:rPr>
          <w:rFonts w:ascii="Verdana" w:hAnsi="Verdana"/>
          <w:snapToGrid w:val="0"/>
          <w:sz w:val="20"/>
        </w:rPr>
        <w:t>Artikel 12 – onwettige en onrechtmatige handelingen</w:t>
      </w:r>
      <w:bookmarkEnd w:id="15"/>
    </w:p>
    <w:p w14:paraId="256AFCC9" w14:textId="77777777" w:rsidR="00857613" w:rsidRDefault="00857613">
      <w:pPr>
        <w:jc w:val="both"/>
        <w:rPr>
          <w:rFonts w:ascii="Verdana" w:hAnsi="Verdana"/>
          <w:snapToGrid w:val="0"/>
          <w:sz w:val="20"/>
          <w:szCs w:val="20"/>
        </w:rPr>
      </w:pPr>
      <w:r>
        <w:rPr>
          <w:rFonts w:ascii="Verdana" w:hAnsi="Verdana"/>
          <w:snapToGrid w:val="0"/>
          <w:sz w:val="20"/>
          <w:szCs w:val="20"/>
        </w:rPr>
        <w:t>Elke poging tot bevoordeling, waarbij de burger door toedoen van een raadslid iets probeert te bereiken wat onrechtmatig of wettelijk niet toelaatbaar is, is verboden.</w:t>
      </w:r>
    </w:p>
    <w:p w14:paraId="147080F7" w14:textId="77777777" w:rsidR="00857613" w:rsidRDefault="00857613">
      <w:pPr>
        <w:jc w:val="both"/>
        <w:rPr>
          <w:rFonts w:ascii="Verdana" w:hAnsi="Verdana"/>
          <w:b/>
          <w:snapToGrid w:val="0"/>
          <w:sz w:val="20"/>
          <w:szCs w:val="20"/>
          <w:u w:val="single"/>
        </w:rPr>
      </w:pPr>
    </w:p>
    <w:p w14:paraId="3B104452" w14:textId="77777777" w:rsidR="00857613" w:rsidRDefault="00857613">
      <w:pPr>
        <w:jc w:val="both"/>
        <w:rPr>
          <w:rFonts w:ascii="Verdana" w:hAnsi="Verdana"/>
          <w:snapToGrid w:val="0"/>
          <w:sz w:val="20"/>
          <w:szCs w:val="20"/>
        </w:rPr>
      </w:pPr>
      <w:r>
        <w:rPr>
          <w:rFonts w:ascii="Verdana" w:hAnsi="Verdana"/>
          <w:snapToGrid w:val="0"/>
          <w:sz w:val="20"/>
          <w:szCs w:val="20"/>
        </w:rPr>
        <w:t xml:space="preserve">Tussenkomsten van raadsleden met de bedoeling de toewijzing of de uitvoering van contractuele verbintenissen met de overheid te beïnvloeden, zijn verboden. </w:t>
      </w:r>
    </w:p>
    <w:p w14:paraId="7A19C74A" w14:textId="77777777" w:rsidR="00857613" w:rsidRDefault="00857613">
      <w:pPr>
        <w:pStyle w:val="Kop2"/>
        <w:rPr>
          <w:rFonts w:ascii="Verdana" w:hAnsi="Verdana"/>
          <w:snapToGrid w:val="0"/>
          <w:sz w:val="20"/>
        </w:rPr>
      </w:pPr>
      <w:bookmarkStart w:id="16" w:name="_Toc4579352"/>
      <w:r>
        <w:rPr>
          <w:rFonts w:ascii="Verdana" w:hAnsi="Verdana"/>
          <w:snapToGrid w:val="0"/>
          <w:sz w:val="20"/>
        </w:rPr>
        <w:t>Artikel 13 – schijndienstbetoon</w:t>
      </w:r>
      <w:bookmarkEnd w:id="16"/>
    </w:p>
    <w:p w14:paraId="49FF695A" w14:textId="77777777" w:rsidR="00857613" w:rsidRDefault="00857613">
      <w:pPr>
        <w:jc w:val="both"/>
        <w:rPr>
          <w:rFonts w:ascii="Verdana" w:hAnsi="Verdana"/>
          <w:snapToGrid w:val="0"/>
          <w:sz w:val="20"/>
          <w:szCs w:val="20"/>
        </w:rPr>
      </w:pPr>
      <w:r>
        <w:rPr>
          <w:rFonts w:ascii="Verdana" w:hAnsi="Verdana"/>
          <w:snapToGrid w:val="0"/>
          <w:sz w:val="20"/>
          <w:szCs w:val="20"/>
        </w:rPr>
        <w:t>Alle vormen van schijndienstbetoon, waarbij raadsleden bewust maar onterecht de indruk wekken dat zij bij de goede afloop van een dossier daadwerkelijk tussenbeide gekomen zijn (eventueel zonder dat de betrokken burger om een tussenkomst heeft gevraagd) zijn niet toegestaan. Wanneer een burger daar niet om heeft gevraagd, zal het raadslid hem niet aanschrijven om hem, in plaats van of naast de officiële kennisgeving, op de hoogte te brengen van de beslissing die genomen werd in een dossier.</w:t>
      </w:r>
    </w:p>
    <w:p w14:paraId="66798B1E" w14:textId="672EDAE5" w:rsidR="00857613" w:rsidRDefault="00857613">
      <w:pPr>
        <w:pStyle w:val="Kop2"/>
        <w:rPr>
          <w:rFonts w:ascii="Verdana" w:hAnsi="Verdana"/>
          <w:snapToGrid w:val="0"/>
          <w:sz w:val="20"/>
        </w:rPr>
      </w:pPr>
      <w:bookmarkStart w:id="17" w:name="_Toc4579353"/>
      <w:r>
        <w:rPr>
          <w:rFonts w:ascii="Verdana" w:hAnsi="Verdana"/>
          <w:snapToGrid w:val="0"/>
          <w:sz w:val="20"/>
        </w:rPr>
        <w:t>Artikel 14 – informatieplicht bestuur</w:t>
      </w:r>
      <w:bookmarkEnd w:id="17"/>
    </w:p>
    <w:p w14:paraId="5FDAED8A" w14:textId="2DD7CF6B" w:rsidR="00857613" w:rsidRDefault="00857613">
      <w:pPr>
        <w:jc w:val="both"/>
        <w:rPr>
          <w:rFonts w:ascii="Verdana" w:hAnsi="Verdana"/>
          <w:sz w:val="20"/>
          <w:szCs w:val="20"/>
        </w:rPr>
      </w:pPr>
      <w:r>
        <w:rPr>
          <w:rFonts w:ascii="Verdana" w:hAnsi="Verdana"/>
          <w:sz w:val="20"/>
          <w:szCs w:val="20"/>
        </w:rPr>
        <w:t>Het bestuur zal op geregelde tijdstippen de lijst van alle raadsleden met hun contactadressen en foto bekendmaken bij de bevolking. De raadsleden kunnen wanneer ze dit wensen ook melding maken van hun zitdagen. Voor de leden van het College van Burgemeester en Schepenen</w:t>
      </w:r>
      <w:r w:rsidR="001605AC">
        <w:rPr>
          <w:rFonts w:ascii="Verdana" w:hAnsi="Verdana"/>
          <w:sz w:val="20"/>
          <w:szCs w:val="20"/>
        </w:rPr>
        <w:t xml:space="preserve">/Vast bureau </w:t>
      </w:r>
      <w:r>
        <w:rPr>
          <w:rFonts w:ascii="Verdana" w:hAnsi="Verdana"/>
          <w:sz w:val="20"/>
          <w:szCs w:val="20"/>
        </w:rPr>
        <w:t>mogen ook de bevoegdheden vermeld worden.</w:t>
      </w:r>
    </w:p>
    <w:p w14:paraId="6CD7B9B2" w14:textId="77777777" w:rsidR="00857613" w:rsidRDefault="00857613">
      <w:pPr>
        <w:jc w:val="both"/>
        <w:rPr>
          <w:rFonts w:ascii="Verdana" w:hAnsi="Verdana"/>
          <w:sz w:val="20"/>
          <w:szCs w:val="20"/>
        </w:rPr>
      </w:pPr>
    </w:p>
    <w:p w14:paraId="2AFBD774" w14:textId="77777777" w:rsidR="00857613" w:rsidRDefault="00857613">
      <w:pPr>
        <w:pStyle w:val="Kop1"/>
        <w:rPr>
          <w:rFonts w:ascii="Verdana" w:hAnsi="Verdana"/>
          <w:caps/>
          <w:sz w:val="22"/>
          <w:szCs w:val="22"/>
          <w:u w:val="single"/>
        </w:rPr>
      </w:pPr>
      <w:bookmarkStart w:id="18" w:name="_Toc4579354"/>
      <w:r>
        <w:rPr>
          <w:rFonts w:ascii="Verdana" w:hAnsi="Verdana"/>
          <w:caps/>
          <w:sz w:val="22"/>
          <w:szCs w:val="22"/>
          <w:u w:val="single"/>
        </w:rPr>
        <w:t>Deel 4. CONTROLE EN SANCTIONERING</w:t>
      </w:r>
      <w:bookmarkEnd w:id="18"/>
    </w:p>
    <w:p w14:paraId="1A85454D" w14:textId="77777777" w:rsidR="00857613" w:rsidRDefault="00857613">
      <w:pPr>
        <w:autoSpaceDE w:val="0"/>
        <w:autoSpaceDN w:val="0"/>
        <w:adjustRightInd w:val="0"/>
        <w:jc w:val="both"/>
        <w:rPr>
          <w:rFonts w:ascii="Verdana" w:hAnsi="Verdana" w:cs="Verdana"/>
          <w:b/>
          <w:bCs/>
          <w:sz w:val="20"/>
          <w:szCs w:val="20"/>
        </w:rPr>
      </w:pPr>
    </w:p>
    <w:p w14:paraId="05C04B61" w14:textId="77777777" w:rsidR="00857613" w:rsidRDefault="00857613">
      <w:pPr>
        <w:pStyle w:val="Kop2"/>
        <w:rPr>
          <w:rFonts w:ascii="Verdana" w:hAnsi="Verdana"/>
          <w:sz w:val="20"/>
        </w:rPr>
      </w:pPr>
      <w:bookmarkStart w:id="19" w:name="_Toc4579355"/>
      <w:r>
        <w:rPr>
          <w:rFonts w:ascii="Verdana" w:hAnsi="Verdana"/>
          <w:sz w:val="20"/>
        </w:rPr>
        <w:t>Artikel 15 – verbintenis tot naleving</w:t>
      </w:r>
      <w:bookmarkEnd w:id="19"/>
    </w:p>
    <w:p w14:paraId="3D1888C1"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De lokale mandatarissen verbinden zich ertoe onderhavige deontologische code na te leven.</w:t>
      </w:r>
    </w:p>
    <w:p w14:paraId="714316A6" w14:textId="77777777" w:rsidR="00857613" w:rsidRDefault="00857613">
      <w:pPr>
        <w:pStyle w:val="Kop2"/>
        <w:rPr>
          <w:rFonts w:ascii="Verdana" w:hAnsi="Verdana"/>
          <w:sz w:val="20"/>
        </w:rPr>
      </w:pPr>
      <w:bookmarkStart w:id="20" w:name="_Toc4579356"/>
      <w:r>
        <w:rPr>
          <w:rFonts w:ascii="Verdana" w:hAnsi="Verdana"/>
          <w:sz w:val="20"/>
        </w:rPr>
        <w:t>Artikel 16 – deontologische commissie</w:t>
      </w:r>
      <w:bookmarkEnd w:id="20"/>
    </w:p>
    <w:p w14:paraId="35C8C389" w14:textId="4B5B1A33"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 xml:space="preserve">Eenieder die geconfronteerd wordt met een interventie van een lokale mandataris, die kennelijk strijdig is met onderhavige deontologische code, maakt hiervan melding bij de </w:t>
      </w:r>
      <w:r w:rsidR="001605AC">
        <w:rPr>
          <w:rFonts w:ascii="Verdana" w:hAnsi="Verdana" w:cs="Verdana"/>
          <w:sz w:val="20"/>
          <w:szCs w:val="20"/>
        </w:rPr>
        <w:t>algemeen directeur</w:t>
      </w:r>
      <w:r>
        <w:rPr>
          <w:rFonts w:ascii="Verdana" w:hAnsi="Verdana" w:cs="Verdana"/>
          <w:sz w:val="20"/>
          <w:szCs w:val="20"/>
        </w:rPr>
        <w:t>, en dit binnen de vijftien dagen volgend op de interventie. Een kopie van de melding wordt onverwijld ter kennis gebracht van de betrokken mandataris. Anonieme klachten of meldingen zijn onontvankelijk.</w:t>
      </w:r>
    </w:p>
    <w:p w14:paraId="72022187" w14:textId="77777777" w:rsidR="00857613" w:rsidRDefault="00857613">
      <w:pPr>
        <w:autoSpaceDE w:val="0"/>
        <w:autoSpaceDN w:val="0"/>
        <w:adjustRightInd w:val="0"/>
        <w:jc w:val="both"/>
        <w:rPr>
          <w:rFonts w:ascii="Verdana" w:hAnsi="Verdana" w:cs="Verdana"/>
          <w:sz w:val="20"/>
          <w:szCs w:val="20"/>
        </w:rPr>
      </w:pPr>
    </w:p>
    <w:p w14:paraId="56CD322D" w14:textId="018D6E1D"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 xml:space="preserve">De </w:t>
      </w:r>
      <w:r w:rsidR="001605AC">
        <w:rPr>
          <w:rFonts w:ascii="Verdana" w:hAnsi="Verdana" w:cs="Verdana"/>
          <w:sz w:val="20"/>
          <w:szCs w:val="20"/>
        </w:rPr>
        <w:t>algemeen directeur</w:t>
      </w:r>
      <w:r>
        <w:rPr>
          <w:rFonts w:ascii="Verdana" w:hAnsi="Verdana" w:cs="Verdana"/>
          <w:sz w:val="20"/>
          <w:szCs w:val="20"/>
        </w:rPr>
        <w:t xml:space="preserve"> legt de in vorig lid bedoelde meldingen voor aan de bijzondere Commissie Deontologische Zaken binnen de dertig dagen na ontvangst.</w:t>
      </w:r>
    </w:p>
    <w:p w14:paraId="190AC530" w14:textId="77777777" w:rsidR="00857613" w:rsidRDefault="00857613">
      <w:pPr>
        <w:pStyle w:val="Kop2"/>
        <w:rPr>
          <w:rFonts w:ascii="Verdana" w:hAnsi="Verdana"/>
          <w:sz w:val="20"/>
        </w:rPr>
      </w:pPr>
      <w:bookmarkStart w:id="21" w:name="_Toc4579357"/>
      <w:r>
        <w:rPr>
          <w:rFonts w:ascii="Verdana" w:hAnsi="Verdana"/>
          <w:sz w:val="20"/>
        </w:rPr>
        <w:t>Artikel 17 – samenstelling deontologische commissie</w:t>
      </w:r>
      <w:bookmarkEnd w:id="21"/>
    </w:p>
    <w:p w14:paraId="4D3B77F0" w14:textId="76521163"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 xml:space="preserve">Deze commissie bestaat uit enerzijds de </w:t>
      </w:r>
      <w:r w:rsidR="004B4A11">
        <w:rPr>
          <w:rFonts w:ascii="Verdana" w:hAnsi="Verdana" w:cs="Verdana"/>
          <w:sz w:val="20"/>
          <w:szCs w:val="20"/>
        </w:rPr>
        <w:t xml:space="preserve">voorzitter van de </w:t>
      </w:r>
      <w:r w:rsidR="001605AC">
        <w:rPr>
          <w:rFonts w:ascii="Verdana" w:hAnsi="Verdana" w:cs="Verdana"/>
          <w:sz w:val="20"/>
          <w:szCs w:val="20"/>
        </w:rPr>
        <w:t>raad</w:t>
      </w:r>
      <w:r>
        <w:rPr>
          <w:rFonts w:ascii="Verdana" w:hAnsi="Verdana" w:cs="Verdana"/>
          <w:sz w:val="20"/>
          <w:szCs w:val="20"/>
        </w:rPr>
        <w:t xml:space="preserve"> en anderzijds uit de voorzitter van elke politieke fractie uit de </w:t>
      </w:r>
      <w:r w:rsidR="001605AC">
        <w:rPr>
          <w:rFonts w:ascii="Verdana" w:hAnsi="Verdana" w:cs="Verdana"/>
          <w:sz w:val="20"/>
          <w:szCs w:val="20"/>
        </w:rPr>
        <w:t>raad</w:t>
      </w:r>
      <w:r>
        <w:rPr>
          <w:rFonts w:ascii="Verdana" w:hAnsi="Verdana" w:cs="Verdana"/>
          <w:sz w:val="20"/>
          <w:szCs w:val="20"/>
        </w:rPr>
        <w:t>. Bij afwezigheid kan de voorzitter zich laten vervangen door de 1</w:t>
      </w:r>
      <w:r>
        <w:rPr>
          <w:rFonts w:ascii="Verdana" w:hAnsi="Verdana" w:cs="Verdana"/>
          <w:sz w:val="20"/>
          <w:szCs w:val="20"/>
          <w:vertAlign w:val="superscript"/>
        </w:rPr>
        <w:t>ste</w:t>
      </w:r>
      <w:r>
        <w:rPr>
          <w:rFonts w:ascii="Verdana" w:hAnsi="Verdana" w:cs="Verdana"/>
          <w:sz w:val="20"/>
          <w:szCs w:val="20"/>
        </w:rPr>
        <w:t xml:space="preserve"> schepen en de fractievoorzitters door een lid van een fractie.</w:t>
      </w:r>
    </w:p>
    <w:p w14:paraId="7D75002F" w14:textId="77777777" w:rsidR="00857613" w:rsidRDefault="00857613">
      <w:pPr>
        <w:autoSpaceDE w:val="0"/>
        <w:autoSpaceDN w:val="0"/>
        <w:adjustRightInd w:val="0"/>
        <w:jc w:val="both"/>
        <w:rPr>
          <w:rFonts w:ascii="Verdana" w:hAnsi="Verdana" w:cs="Verdana"/>
          <w:sz w:val="20"/>
          <w:szCs w:val="20"/>
        </w:rPr>
      </w:pPr>
    </w:p>
    <w:p w14:paraId="0C950EA7"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Een commissielid is verplicht zich te laten vervangen wanneer de klacht betrekking heeft op het commissielid zoals voorzien in de vorige alinea.</w:t>
      </w:r>
    </w:p>
    <w:p w14:paraId="4D5FCEA5" w14:textId="77777777" w:rsidR="00857613" w:rsidRDefault="00857613">
      <w:pPr>
        <w:autoSpaceDE w:val="0"/>
        <w:autoSpaceDN w:val="0"/>
        <w:adjustRightInd w:val="0"/>
        <w:jc w:val="both"/>
        <w:rPr>
          <w:rFonts w:ascii="Verdana" w:hAnsi="Verdana" w:cs="Verdana"/>
          <w:sz w:val="20"/>
          <w:szCs w:val="20"/>
        </w:rPr>
      </w:pPr>
    </w:p>
    <w:p w14:paraId="6F876FB2" w14:textId="4C938694"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De </w:t>
      </w:r>
      <w:r w:rsidR="001605AC">
        <w:rPr>
          <w:rFonts w:ascii="Verdana" w:hAnsi="Verdana" w:cs="Verdana"/>
          <w:sz w:val="20"/>
          <w:szCs w:val="20"/>
        </w:rPr>
        <w:t>voorzitter van de raad</w:t>
      </w:r>
      <w:r>
        <w:rPr>
          <w:rFonts w:ascii="Verdana" w:hAnsi="Verdana" w:cs="Verdana"/>
          <w:sz w:val="20"/>
          <w:szCs w:val="20"/>
        </w:rPr>
        <w:t xml:space="preserve"> of zijn vervanger is van rechtswege voorzitter en de </w:t>
      </w:r>
      <w:r w:rsidR="001605AC">
        <w:rPr>
          <w:rFonts w:ascii="Verdana" w:hAnsi="Verdana" w:cs="Verdana"/>
          <w:sz w:val="20"/>
          <w:szCs w:val="20"/>
        </w:rPr>
        <w:t>algemeen directeur</w:t>
      </w:r>
      <w:r>
        <w:rPr>
          <w:rFonts w:ascii="Verdana" w:hAnsi="Verdana" w:cs="Verdana"/>
          <w:sz w:val="20"/>
          <w:szCs w:val="20"/>
        </w:rPr>
        <w:t xml:space="preserve"> is secretaris van de Commissie Deontologische Zaken.</w:t>
      </w:r>
    </w:p>
    <w:p w14:paraId="39D5051D" w14:textId="77777777" w:rsidR="00857613" w:rsidRDefault="00857613">
      <w:pPr>
        <w:pStyle w:val="Kop2"/>
        <w:rPr>
          <w:rFonts w:ascii="Verdana" w:hAnsi="Verdana"/>
          <w:sz w:val="20"/>
        </w:rPr>
      </w:pPr>
      <w:bookmarkStart w:id="22" w:name="_Toc4579358"/>
      <w:r>
        <w:rPr>
          <w:rFonts w:ascii="Verdana" w:hAnsi="Verdana"/>
          <w:sz w:val="20"/>
        </w:rPr>
        <w:t>Artikel 18 – sanctie</w:t>
      </w:r>
      <w:bookmarkEnd w:id="22"/>
    </w:p>
    <w:p w14:paraId="3C31F058"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Deze commissie onderzoekt de gegrondheid van de melding. Zij kan daarbij de klager en de mandataris horen.</w:t>
      </w:r>
    </w:p>
    <w:p w14:paraId="62DE2C65" w14:textId="77777777" w:rsidR="00857613" w:rsidRDefault="00857613">
      <w:pPr>
        <w:autoSpaceDE w:val="0"/>
        <w:autoSpaceDN w:val="0"/>
        <w:adjustRightInd w:val="0"/>
        <w:jc w:val="both"/>
        <w:rPr>
          <w:rFonts w:ascii="Verdana" w:hAnsi="Verdana" w:cs="Verdana"/>
          <w:sz w:val="20"/>
          <w:szCs w:val="20"/>
        </w:rPr>
      </w:pPr>
    </w:p>
    <w:p w14:paraId="005A0306"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Deze commissie is verplicht de klager en/of de mandataris te horen zo die daar uitdrukkelijk om verzoeken. Deze commissie doet uitspraak binnen de dertig dagen nadat de melding geagendeerd werd op de commissieagenda.</w:t>
      </w:r>
    </w:p>
    <w:p w14:paraId="1832B8FA" w14:textId="77777777" w:rsidR="00857613" w:rsidRDefault="00857613">
      <w:pPr>
        <w:autoSpaceDE w:val="0"/>
        <w:autoSpaceDN w:val="0"/>
        <w:adjustRightInd w:val="0"/>
        <w:jc w:val="both"/>
        <w:rPr>
          <w:rFonts w:ascii="Verdana" w:hAnsi="Verdana" w:cs="Verdana"/>
          <w:sz w:val="20"/>
          <w:szCs w:val="20"/>
        </w:rPr>
      </w:pPr>
    </w:p>
    <w:p w14:paraId="6CEF0059"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Alle in dit artikel bepaalde termijnen worden opgeschort tijdens de maanden juli en augustus.</w:t>
      </w:r>
    </w:p>
    <w:p w14:paraId="27ED4103" w14:textId="77777777" w:rsidR="00857613" w:rsidRDefault="00857613">
      <w:pPr>
        <w:autoSpaceDE w:val="0"/>
        <w:autoSpaceDN w:val="0"/>
        <w:adjustRightInd w:val="0"/>
        <w:jc w:val="both"/>
        <w:rPr>
          <w:rFonts w:ascii="Verdana" w:hAnsi="Verdana" w:cs="Verdana"/>
          <w:sz w:val="20"/>
          <w:szCs w:val="20"/>
        </w:rPr>
      </w:pPr>
    </w:p>
    <w:p w14:paraId="53E3E4AF" w14:textId="77777777"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 xml:space="preserve">Stelt de deontologische commissie bij </w:t>
      </w:r>
      <w:proofErr w:type="spellStart"/>
      <w:r>
        <w:rPr>
          <w:rFonts w:ascii="Verdana" w:hAnsi="Verdana" w:cs="Verdana"/>
          <w:sz w:val="20"/>
          <w:szCs w:val="20"/>
        </w:rPr>
        <w:t>tweederde</w:t>
      </w:r>
      <w:proofErr w:type="spellEnd"/>
      <w:r>
        <w:rPr>
          <w:rFonts w:ascii="Verdana" w:hAnsi="Verdana" w:cs="Verdana"/>
          <w:sz w:val="20"/>
          <w:szCs w:val="20"/>
        </w:rPr>
        <w:t xml:space="preserve"> meerderheid van haar leden een inbreuk op de deontologische code vast, wordt een publieke afkeuring van de handelwijze van de met name genoemde mandataris uitgesproken.</w:t>
      </w:r>
    </w:p>
    <w:p w14:paraId="68C8EA2F" w14:textId="77777777" w:rsidR="00857613" w:rsidRDefault="00857613">
      <w:pPr>
        <w:autoSpaceDE w:val="0"/>
        <w:autoSpaceDN w:val="0"/>
        <w:adjustRightInd w:val="0"/>
        <w:jc w:val="both"/>
        <w:rPr>
          <w:rFonts w:ascii="Verdana" w:hAnsi="Verdana" w:cs="Verdana"/>
          <w:sz w:val="20"/>
          <w:szCs w:val="20"/>
        </w:rPr>
      </w:pPr>
    </w:p>
    <w:p w14:paraId="7ECCFA64" w14:textId="4571EB1D" w:rsidR="00857613" w:rsidRDefault="00857613">
      <w:pPr>
        <w:autoSpaceDE w:val="0"/>
        <w:autoSpaceDN w:val="0"/>
        <w:adjustRightInd w:val="0"/>
        <w:jc w:val="both"/>
        <w:rPr>
          <w:rFonts w:ascii="Verdana" w:hAnsi="Verdana" w:cs="Verdana"/>
          <w:sz w:val="20"/>
          <w:szCs w:val="20"/>
        </w:rPr>
      </w:pPr>
      <w:r>
        <w:rPr>
          <w:rFonts w:ascii="Verdana" w:hAnsi="Verdana" w:cs="Verdana"/>
          <w:sz w:val="20"/>
          <w:szCs w:val="20"/>
        </w:rPr>
        <w:t>De uitspraak wordt meegedeeld aan de raad en opgenomen in de notulen.</w:t>
      </w:r>
    </w:p>
    <w:p w14:paraId="18AECF0F" w14:textId="77777777" w:rsidR="00857613" w:rsidRDefault="00857613">
      <w:pPr>
        <w:autoSpaceDE w:val="0"/>
        <w:autoSpaceDN w:val="0"/>
        <w:adjustRightInd w:val="0"/>
        <w:jc w:val="both"/>
        <w:rPr>
          <w:rFonts w:ascii="Verdana" w:hAnsi="Verdana" w:cs="Verdana"/>
          <w:b/>
          <w:bCs/>
          <w:sz w:val="20"/>
          <w:szCs w:val="20"/>
        </w:rPr>
      </w:pPr>
    </w:p>
    <w:p w14:paraId="054A2854" w14:textId="77777777" w:rsidR="00857613" w:rsidRDefault="00857613">
      <w:pPr>
        <w:pStyle w:val="Kop1"/>
        <w:rPr>
          <w:rFonts w:ascii="Verdana" w:hAnsi="Verdana"/>
          <w:caps/>
          <w:sz w:val="22"/>
          <w:u w:val="single"/>
        </w:rPr>
      </w:pPr>
      <w:bookmarkStart w:id="23" w:name="_Toc4579359"/>
      <w:r>
        <w:rPr>
          <w:rFonts w:ascii="Verdana" w:hAnsi="Verdana"/>
          <w:caps/>
          <w:sz w:val="22"/>
          <w:u w:val="single"/>
        </w:rPr>
        <w:t>DEEL 5 – HANDTEKENINGEN</w:t>
      </w:r>
      <w:bookmarkEnd w:id="23"/>
    </w:p>
    <w:p w14:paraId="08F9C2A2" w14:textId="77777777" w:rsidR="00857613" w:rsidRDefault="00857613"/>
    <w:p w14:paraId="70AC8974" w14:textId="77777777" w:rsidR="00857613" w:rsidRDefault="00857613"/>
    <w:tbl>
      <w:tblPr>
        <w:tblW w:w="8131" w:type="dxa"/>
        <w:tblInd w:w="55" w:type="dxa"/>
        <w:tblCellMar>
          <w:left w:w="70" w:type="dxa"/>
          <w:right w:w="70" w:type="dxa"/>
        </w:tblCellMar>
        <w:tblLook w:val="0000" w:firstRow="0" w:lastRow="0" w:firstColumn="0" w:lastColumn="0" w:noHBand="0" w:noVBand="0"/>
      </w:tblPr>
      <w:tblGrid>
        <w:gridCol w:w="2440"/>
        <w:gridCol w:w="2720"/>
        <w:gridCol w:w="2971"/>
      </w:tblGrid>
      <w:tr w:rsidR="001605AC" w14:paraId="782F0A62" w14:textId="77777777" w:rsidTr="001605AC">
        <w:trPr>
          <w:cantSplit/>
          <w:trHeight w:val="333"/>
        </w:trPr>
        <w:tc>
          <w:tcPr>
            <w:tcW w:w="2440" w:type="dxa"/>
            <w:tcBorders>
              <w:top w:val="single" w:sz="4" w:space="0" w:color="auto"/>
              <w:left w:val="single" w:sz="4" w:space="0" w:color="auto"/>
              <w:bottom w:val="single" w:sz="4" w:space="0" w:color="auto"/>
              <w:right w:val="single" w:sz="4" w:space="0" w:color="auto"/>
            </w:tcBorders>
          </w:tcPr>
          <w:p w14:paraId="075A8BFF" w14:textId="77777777" w:rsidR="001605AC" w:rsidRDefault="001605AC">
            <w:pPr>
              <w:rPr>
                <w:rFonts w:ascii="Verdana" w:hAnsi="Verdana" w:cs="Arial"/>
                <w:b/>
                <w:bCs/>
                <w:sz w:val="20"/>
                <w:szCs w:val="20"/>
              </w:rPr>
            </w:pPr>
            <w:r>
              <w:rPr>
                <w:rFonts w:ascii="Verdana" w:hAnsi="Verdana" w:cs="Arial"/>
                <w:b/>
                <w:bCs/>
                <w:sz w:val="20"/>
                <w:szCs w:val="20"/>
              </w:rPr>
              <w:t>Naam</w:t>
            </w:r>
          </w:p>
        </w:tc>
        <w:tc>
          <w:tcPr>
            <w:tcW w:w="2720" w:type="dxa"/>
            <w:tcBorders>
              <w:top w:val="single" w:sz="8" w:space="0" w:color="auto"/>
              <w:left w:val="single" w:sz="4" w:space="0" w:color="auto"/>
              <w:bottom w:val="single" w:sz="8" w:space="0" w:color="auto"/>
              <w:right w:val="single" w:sz="8" w:space="0" w:color="auto"/>
            </w:tcBorders>
          </w:tcPr>
          <w:p w14:paraId="37B97A6C" w14:textId="77777777" w:rsidR="001605AC" w:rsidRDefault="001605AC">
            <w:pPr>
              <w:rPr>
                <w:rFonts w:ascii="Verdana" w:hAnsi="Verdana" w:cs="Arial"/>
                <w:b/>
                <w:bCs/>
                <w:sz w:val="20"/>
                <w:szCs w:val="20"/>
              </w:rPr>
            </w:pPr>
            <w:r>
              <w:rPr>
                <w:rFonts w:ascii="Verdana" w:hAnsi="Verdana" w:cs="Arial"/>
                <w:b/>
                <w:bCs/>
                <w:sz w:val="20"/>
                <w:szCs w:val="20"/>
              </w:rPr>
              <w:t>Functie</w:t>
            </w:r>
          </w:p>
        </w:tc>
        <w:tc>
          <w:tcPr>
            <w:tcW w:w="2971" w:type="dxa"/>
            <w:tcBorders>
              <w:top w:val="single" w:sz="8" w:space="0" w:color="auto"/>
              <w:left w:val="nil"/>
              <w:bottom w:val="single" w:sz="8" w:space="0" w:color="auto"/>
              <w:right w:val="single" w:sz="8" w:space="0" w:color="auto"/>
            </w:tcBorders>
          </w:tcPr>
          <w:p w14:paraId="619A5155" w14:textId="77777777" w:rsidR="001605AC" w:rsidRDefault="001605AC">
            <w:pPr>
              <w:rPr>
                <w:rFonts w:ascii="Verdana" w:hAnsi="Verdana" w:cs="Arial"/>
                <w:b/>
                <w:bCs/>
                <w:sz w:val="20"/>
                <w:szCs w:val="20"/>
              </w:rPr>
            </w:pPr>
            <w:r>
              <w:rPr>
                <w:rFonts w:ascii="Verdana" w:hAnsi="Verdana" w:cs="Arial"/>
                <w:b/>
                <w:bCs/>
                <w:sz w:val="20"/>
                <w:szCs w:val="20"/>
              </w:rPr>
              <w:t>Handtekening</w:t>
            </w:r>
          </w:p>
        </w:tc>
      </w:tr>
      <w:tr w:rsidR="001605AC" w14:paraId="1587193A"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1D4020B0"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4032D01C"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7866A9A5" w14:textId="77777777" w:rsidR="001605AC" w:rsidRDefault="001605AC">
            <w:pPr>
              <w:rPr>
                <w:rFonts w:ascii="Verdana" w:hAnsi="Verdana" w:cs="Arial"/>
                <w:sz w:val="20"/>
                <w:szCs w:val="20"/>
              </w:rPr>
            </w:pPr>
          </w:p>
        </w:tc>
      </w:tr>
      <w:tr w:rsidR="001605AC" w14:paraId="1B7A044E"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6CCAA48F"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3517FF75"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74AFE891" w14:textId="77777777" w:rsidR="001605AC" w:rsidRDefault="001605AC">
            <w:pPr>
              <w:rPr>
                <w:rFonts w:ascii="Verdana" w:hAnsi="Verdana" w:cs="Arial"/>
                <w:sz w:val="20"/>
                <w:szCs w:val="20"/>
              </w:rPr>
            </w:pPr>
          </w:p>
        </w:tc>
      </w:tr>
      <w:tr w:rsidR="001605AC" w14:paraId="6A348143"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36DF8833"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3878D9A1"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0F41CBCF" w14:textId="77777777" w:rsidR="001605AC" w:rsidRDefault="001605AC">
            <w:pPr>
              <w:rPr>
                <w:rFonts w:ascii="Verdana" w:hAnsi="Verdana" w:cs="Arial"/>
                <w:sz w:val="20"/>
                <w:szCs w:val="20"/>
              </w:rPr>
            </w:pPr>
          </w:p>
        </w:tc>
      </w:tr>
      <w:tr w:rsidR="001605AC" w14:paraId="1DCFAA15"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43A92EB6"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4C71D402"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45DF2D0A" w14:textId="77777777" w:rsidR="001605AC" w:rsidRDefault="001605AC">
            <w:pPr>
              <w:rPr>
                <w:rFonts w:ascii="Verdana" w:hAnsi="Verdana" w:cs="Arial"/>
                <w:sz w:val="20"/>
                <w:szCs w:val="20"/>
              </w:rPr>
            </w:pPr>
          </w:p>
        </w:tc>
      </w:tr>
      <w:tr w:rsidR="001605AC" w14:paraId="5835C581"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5B23AF1F"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03022942"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04F57929" w14:textId="77777777" w:rsidR="001605AC" w:rsidRDefault="001605AC">
            <w:pPr>
              <w:rPr>
                <w:rFonts w:ascii="Verdana" w:hAnsi="Verdana" w:cs="Arial"/>
                <w:sz w:val="20"/>
                <w:szCs w:val="20"/>
              </w:rPr>
            </w:pPr>
          </w:p>
        </w:tc>
      </w:tr>
      <w:tr w:rsidR="001605AC" w14:paraId="2E6EF610"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2E239D3B"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2753AC6A"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500A1907" w14:textId="77777777" w:rsidR="001605AC" w:rsidRDefault="001605AC">
            <w:pPr>
              <w:rPr>
                <w:rFonts w:ascii="Verdana" w:hAnsi="Verdana" w:cs="Arial"/>
                <w:sz w:val="20"/>
                <w:szCs w:val="20"/>
              </w:rPr>
            </w:pPr>
          </w:p>
        </w:tc>
      </w:tr>
      <w:tr w:rsidR="001605AC" w14:paraId="6182EC27"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1D25E896"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52587644"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26BDFC40" w14:textId="77777777" w:rsidR="001605AC" w:rsidRDefault="001605AC">
            <w:pPr>
              <w:rPr>
                <w:rFonts w:ascii="Verdana" w:hAnsi="Verdana" w:cs="Arial"/>
                <w:sz w:val="20"/>
                <w:szCs w:val="20"/>
              </w:rPr>
            </w:pPr>
          </w:p>
        </w:tc>
      </w:tr>
      <w:tr w:rsidR="001605AC" w14:paraId="361E8055"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0786C3A5"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580C574C" w14:textId="77777777" w:rsidR="001605AC" w:rsidRDefault="001605AC">
            <w:pPr>
              <w:rPr>
                <w:rFonts w:ascii="Verdana" w:hAnsi="Verdana" w:cs="Arial"/>
                <w:sz w:val="20"/>
                <w:szCs w:val="20"/>
              </w:rPr>
            </w:pPr>
          </w:p>
        </w:tc>
        <w:tc>
          <w:tcPr>
            <w:tcW w:w="2971" w:type="dxa"/>
            <w:tcBorders>
              <w:top w:val="nil"/>
              <w:left w:val="nil"/>
              <w:bottom w:val="single" w:sz="4" w:space="0" w:color="auto"/>
              <w:right w:val="single" w:sz="8" w:space="0" w:color="auto"/>
            </w:tcBorders>
            <w:noWrap/>
            <w:vAlign w:val="center"/>
          </w:tcPr>
          <w:p w14:paraId="6C7DEDF3" w14:textId="77777777" w:rsidR="001605AC" w:rsidRDefault="001605AC">
            <w:pPr>
              <w:rPr>
                <w:rFonts w:ascii="Verdana" w:hAnsi="Verdana" w:cs="Arial"/>
                <w:sz w:val="20"/>
                <w:szCs w:val="20"/>
              </w:rPr>
            </w:pPr>
          </w:p>
        </w:tc>
      </w:tr>
      <w:tr w:rsidR="001605AC" w14:paraId="1E9DDF2D"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431617E9"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41A02661" w14:textId="77777777" w:rsidR="001605AC" w:rsidRDefault="001605AC"/>
        </w:tc>
        <w:tc>
          <w:tcPr>
            <w:tcW w:w="2971" w:type="dxa"/>
            <w:tcBorders>
              <w:top w:val="nil"/>
              <w:left w:val="nil"/>
              <w:bottom w:val="single" w:sz="4" w:space="0" w:color="auto"/>
              <w:right w:val="single" w:sz="8" w:space="0" w:color="auto"/>
            </w:tcBorders>
            <w:noWrap/>
            <w:vAlign w:val="center"/>
          </w:tcPr>
          <w:p w14:paraId="37ED1DD2" w14:textId="77777777" w:rsidR="001605AC" w:rsidRDefault="001605AC">
            <w:pPr>
              <w:rPr>
                <w:rFonts w:ascii="Verdana" w:hAnsi="Verdana" w:cs="Arial"/>
                <w:sz w:val="20"/>
                <w:szCs w:val="20"/>
              </w:rPr>
            </w:pPr>
          </w:p>
        </w:tc>
      </w:tr>
      <w:tr w:rsidR="001605AC" w14:paraId="396C2B81"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50064CE1" w14:textId="77777777" w:rsidR="001605AC" w:rsidRDefault="001605AC">
            <w:pPr>
              <w:rPr>
                <w:rFonts w:ascii="Verdana" w:hAnsi="Verdana" w:cs="Arial"/>
                <w:sz w:val="20"/>
                <w:szCs w:val="20"/>
              </w:rPr>
            </w:pPr>
          </w:p>
        </w:tc>
        <w:tc>
          <w:tcPr>
            <w:tcW w:w="2720" w:type="dxa"/>
            <w:tcBorders>
              <w:top w:val="single" w:sz="4" w:space="0" w:color="auto"/>
              <w:left w:val="nil"/>
              <w:bottom w:val="single" w:sz="4" w:space="0" w:color="auto"/>
              <w:right w:val="single" w:sz="4" w:space="0" w:color="auto"/>
            </w:tcBorders>
            <w:noWrap/>
            <w:vAlign w:val="center"/>
          </w:tcPr>
          <w:p w14:paraId="1CC03632" w14:textId="77777777" w:rsidR="001605AC" w:rsidRDefault="001605AC"/>
        </w:tc>
        <w:tc>
          <w:tcPr>
            <w:tcW w:w="2971" w:type="dxa"/>
            <w:tcBorders>
              <w:top w:val="single" w:sz="4" w:space="0" w:color="auto"/>
              <w:left w:val="nil"/>
              <w:bottom w:val="single" w:sz="4" w:space="0" w:color="auto"/>
              <w:right w:val="single" w:sz="4" w:space="0" w:color="auto"/>
            </w:tcBorders>
            <w:noWrap/>
            <w:vAlign w:val="center"/>
          </w:tcPr>
          <w:p w14:paraId="14EBE991" w14:textId="77777777" w:rsidR="001605AC" w:rsidRDefault="001605AC">
            <w:pPr>
              <w:rPr>
                <w:rFonts w:ascii="Verdana" w:hAnsi="Verdana" w:cs="Arial"/>
                <w:sz w:val="20"/>
                <w:szCs w:val="20"/>
              </w:rPr>
            </w:pPr>
          </w:p>
        </w:tc>
      </w:tr>
      <w:tr w:rsidR="001605AC" w14:paraId="39CF44B4"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4250CFF6" w14:textId="77777777" w:rsidR="001605AC" w:rsidRDefault="001605AC">
            <w:pPr>
              <w:rPr>
                <w:rFonts w:ascii="Verdana" w:hAnsi="Verdana" w:cs="Arial"/>
                <w:sz w:val="20"/>
                <w:szCs w:val="20"/>
              </w:rPr>
            </w:pPr>
          </w:p>
        </w:tc>
        <w:tc>
          <w:tcPr>
            <w:tcW w:w="2720" w:type="dxa"/>
            <w:tcBorders>
              <w:top w:val="single" w:sz="4" w:space="0" w:color="auto"/>
              <w:left w:val="nil"/>
              <w:bottom w:val="single" w:sz="4" w:space="0" w:color="auto"/>
              <w:right w:val="single" w:sz="4" w:space="0" w:color="auto"/>
            </w:tcBorders>
            <w:noWrap/>
            <w:vAlign w:val="center"/>
          </w:tcPr>
          <w:p w14:paraId="3146E543" w14:textId="77777777" w:rsidR="001605AC" w:rsidRDefault="001605AC"/>
        </w:tc>
        <w:tc>
          <w:tcPr>
            <w:tcW w:w="2971" w:type="dxa"/>
            <w:tcBorders>
              <w:top w:val="single" w:sz="4" w:space="0" w:color="auto"/>
              <w:left w:val="nil"/>
              <w:bottom w:val="single" w:sz="4" w:space="0" w:color="auto"/>
              <w:right w:val="single" w:sz="8" w:space="0" w:color="auto"/>
            </w:tcBorders>
            <w:noWrap/>
            <w:vAlign w:val="center"/>
          </w:tcPr>
          <w:p w14:paraId="07D60D77" w14:textId="77777777" w:rsidR="001605AC" w:rsidRDefault="001605AC">
            <w:pPr>
              <w:rPr>
                <w:rFonts w:ascii="Verdana" w:hAnsi="Verdana" w:cs="Arial"/>
                <w:sz w:val="20"/>
                <w:szCs w:val="20"/>
              </w:rPr>
            </w:pPr>
          </w:p>
        </w:tc>
      </w:tr>
      <w:tr w:rsidR="001605AC" w14:paraId="047D29D5"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071D509E"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0AAA7440" w14:textId="77777777" w:rsidR="001605AC" w:rsidRDefault="001605AC"/>
        </w:tc>
        <w:tc>
          <w:tcPr>
            <w:tcW w:w="2971" w:type="dxa"/>
            <w:tcBorders>
              <w:top w:val="nil"/>
              <w:left w:val="nil"/>
              <w:bottom w:val="single" w:sz="4" w:space="0" w:color="auto"/>
              <w:right w:val="single" w:sz="8" w:space="0" w:color="auto"/>
            </w:tcBorders>
            <w:noWrap/>
            <w:vAlign w:val="center"/>
          </w:tcPr>
          <w:p w14:paraId="483A6D3A" w14:textId="77777777" w:rsidR="001605AC" w:rsidRDefault="001605AC">
            <w:pPr>
              <w:rPr>
                <w:rFonts w:ascii="Verdana" w:hAnsi="Verdana" w:cs="Arial"/>
                <w:sz w:val="20"/>
                <w:szCs w:val="20"/>
              </w:rPr>
            </w:pPr>
          </w:p>
        </w:tc>
      </w:tr>
      <w:tr w:rsidR="001605AC" w14:paraId="5481F552"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1F2A712E"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3A44B72C" w14:textId="77777777" w:rsidR="001605AC" w:rsidRDefault="001605AC"/>
        </w:tc>
        <w:tc>
          <w:tcPr>
            <w:tcW w:w="2971" w:type="dxa"/>
            <w:tcBorders>
              <w:top w:val="nil"/>
              <w:left w:val="nil"/>
              <w:bottom w:val="single" w:sz="4" w:space="0" w:color="auto"/>
              <w:right w:val="single" w:sz="8" w:space="0" w:color="auto"/>
            </w:tcBorders>
            <w:noWrap/>
            <w:vAlign w:val="center"/>
          </w:tcPr>
          <w:p w14:paraId="7933D511" w14:textId="77777777" w:rsidR="001605AC" w:rsidRDefault="001605AC">
            <w:pPr>
              <w:rPr>
                <w:rFonts w:ascii="Verdana" w:hAnsi="Verdana" w:cs="Arial"/>
                <w:sz w:val="20"/>
                <w:szCs w:val="20"/>
              </w:rPr>
            </w:pPr>
          </w:p>
        </w:tc>
      </w:tr>
      <w:tr w:rsidR="001605AC" w14:paraId="7DDE7F67"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45A24351"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7CFD45E0" w14:textId="77777777" w:rsidR="001605AC" w:rsidRDefault="001605AC"/>
        </w:tc>
        <w:tc>
          <w:tcPr>
            <w:tcW w:w="2971" w:type="dxa"/>
            <w:tcBorders>
              <w:top w:val="nil"/>
              <w:left w:val="nil"/>
              <w:bottom w:val="single" w:sz="4" w:space="0" w:color="auto"/>
              <w:right w:val="single" w:sz="8" w:space="0" w:color="auto"/>
            </w:tcBorders>
            <w:noWrap/>
            <w:vAlign w:val="center"/>
          </w:tcPr>
          <w:p w14:paraId="1B6E9F35" w14:textId="77777777" w:rsidR="001605AC" w:rsidRDefault="001605AC">
            <w:pPr>
              <w:rPr>
                <w:rFonts w:ascii="Verdana" w:hAnsi="Verdana" w:cs="Arial"/>
                <w:sz w:val="20"/>
                <w:szCs w:val="20"/>
              </w:rPr>
            </w:pPr>
          </w:p>
        </w:tc>
      </w:tr>
      <w:tr w:rsidR="001605AC" w14:paraId="195C87F8"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0678C34D"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61E91A11" w14:textId="77777777" w:rsidR="001605AC" w:rsidRDefault="001605AC"/>
        </w:tc>
        <w:tc>
          <w:tcPr>
            <w:tcW w:w="2971" w:type="dxa"/>
            <w:tcBorders>
              <w:top w:val="nil"/>
              <w:left w:val="nil"/>
              <w:bottom w:val="single" w:sz="4" w:space="0" w:color="auto"/>
              <w:right w:val="single" w:sz="8" w:space="0" w:color="auto"/>
            </w:tcBorders>
            <w:noWrap/>
            <w:vAlign w:val="center"/>
          </w:tcPr>
          <w:p w14:paraId="4699E7C0" w14:textId="77777777" w:rsidR="001605AC" w:rsidRDefault="001605AC">
            <w:pPr>
              <w:rPr>
                <w:rFonts w:ascii="Verdana" w:hAnsi="Verdana" w:cs="Arial"/>
                <w:sz w:val="20"/>
                <w:szCs w:val="20"/>
              </w:rPr>
            </w:pPr>
          </w:p>
        </w:tc>
      </w:tr>
      <w:tr w:rsidR="001605AC" w14:paraId="71760112"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57D75E42"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7C47F173" w14:textId="77777777" w:rsidR="001605AC" w:rsidRDefault="001605AC"/>
        </w:tc>
        <w:tc>
          <w:tcPr>
            <w:tcW w:w="2971" w:type="dxa"/>
            <w:tcBorders>
              <w:top w:val="nil"/>
              <w:left w:val="nil"/>
              <w:bottom w:val="single" w:sz="4" w:space="0" w:color="auto"/>
              <w:right w:val="single" w:sz="8" w:space="0" w:color="auto"/>
            </w:tcBorders>
            <w:noWrap/>
            <w:vAlign w:val="center"/>
          </w:tcPr>
          <w:p w14:paraId="6F06C30F" w14:textId="77777777" w:rsidR="001605AC" w:rsidRDefault="001605AC">
            <w:pPr>
              <w:rPr>
                <w:rFonts w:ascii="Verdana" w:hAnsi="Verdana" w:cs="Arial"/>
                <w:sz w:val="20"/>
                <w:szCs w:val="20"/>
              </w:rPr>
            </w:pPr>
          </w:p>
        </w:tc>
      </w:tr>
      <w:tr w:rsidR="001605AC" w14:paraId="03B57422"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34AA606E"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0742343B" w14:textId="77777777" w:rsidR="001605AC" w:rsidRDefault="001605AC"/>
        </w:tc>
        <w:tc>
          <w:tcPr>
            <w:tcW w:w="2971" w:type="dxa"/>
            <w:tcBorders>
              <w:top w:val="nil"/>
              <w:left w:val="nil"/>
              <w:bottom w:val="single" w:sz="4" w:space="0" w:color="auto"/>
              <w:right w:val="single" w:sz="8" w:space="0" w:color="auto"/>
            </w:tcBorders>
            <w:noWrap/>
            <w:vAlign w:val="center"/>
          </w:tcPr>
          <w:p w14:paraId="11DA6DDD" w14:textId="77777777" w:rsidR="001605AC" w:rsidRDefault="001605AC">
            <w:pPr>
              <w:rPr>
                <w:rFonts w:ascii="Verdana" w:hAnsi="Verdana" w:cs="Arial"/>
                <w:sz w:val="20"/>
                <w:szCs w:val="20"/>
              </w:rPr>
            </w:pPr>
          </w:p>
        </w:tc>
      </w:tr>
      <w:tr w:rsidR="001605AC" w14:paraId="74328AB4"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7DF60B4F"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631CD2C1" w14:textId="77777777" w:rsidR="001605AC" w:rsidRDefault="001605AC"/>
        </w:tc>
        <w:tc>
          <w:tcPr>
            <w:tcW w:w="2971" w:type="dxa"/>
            <w:tcBorders>
              <w:top w:val="nil"/>
              <w:left w:val="nil"/>
              <w:bottom w:val="single" w:sz="4" w:space="0" w:color="auto"/>
              <w:right w:val="single" w:sz="8" w:space="0" w:color="auto"/>
            </w:tcBorders>
            <w:noWrap/>
            <w:vAlign w:val="center"/>
          </w:tcPr>
          <w:p w14:paraId="63CE1618" w14:textId="77777777" w:rsidR="001605AC" w:rsidRDefault="001605AC">
            <w:pPr>
              <w:rPr>
                <w:rFonts w:ascii="Verdana" w:hAnsi="Verdana" w:cs="Arial"/>
                <w:sz w:val="20"/>
                <w:szCs w:val="20"/>
              </w:rPr>
            </w:pPr>
          </w:p>
        </w:tc>
      </w:tr>
      <w:tr w:rsidR="001605AC" w14:paraId="019EB405"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6A37DC11"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7C025D07" w14:textId="77777777" w:rsidR="001605AC" w:rsidRDefault="001605AC"/>
        </w:tc>
        <w:tc>
          <w:tcPr>
            <w:tcW w:w="2971" w:type="dxa"/>
            <w:tcBorders>
              <w:top w:val="nil"/>
              <w:left w:val="nil"/>
              <w:bottom w:val="single" w:sz="4" w:space="0" w:color="auto"/>
              <w:right w:val="single" w:sz="8" w:space="0" w:color="auto"/>
            </w:tcBorders>
            <w:noWrap/>
            <w:vAlign w:val="center"/>
          </w:tcPr>
          <w:p w14:paraId="01B7C21E" w14:textId="77777777" w:rsidR="001605AC" w:rsidRDefault="001605AC">
            <w:pPr>
              <w:rPr>
                <w:rFonts w:ascii="Verdana" w:hAnsi="Verdana" w:cs="Arial"/>
                <w:sz w:val="20"/>
                <w:szCs w:val="20"/>
              </w:rPr>
            </w:pPr>
          </w:p>
        </w:tc>
      </w:tr>
      <w:tr w:rsidR="001605AC" w14:paraId="55639E72"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2C5B0C18"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3BEBCCFC" w14:textId="77777777" w:rsidR="001605AC" w:rsidRDefault="001605AC"/>
        </w:tc>
        <w:tc>
          <w:tcPr>
            <w:tcW w:w="2971" w:type="dxa"/>
            <w:tcBorders>
              <w:top w:val="nil"/>
              <w:left w:val="nil"/>
              <w:bottom w:val="single" w:sz="4" w:space="0" w:color="auto"/>
              <w:right w:val="single" w:sz="8" w:space="0" w:color="auto"/>
            </w:tcBorders>
            <w:noWrap/>
            <w:vAlign w:val="center"/>
          </w:tcPr>
          <w:p w14:paraId="6023B856" w14:textId="77777777" w:rsidR="001605AC" w:rsidRDefault="001605AC">
            <w:pPr>
              <w:rPr>
                <w:rFonts w:ascii="Verdana" w:hAnsi="Verdana" w:cs="Arial"/>
                <w:sz w:val="20"/>
                <w:szCs w:val="20"/>
              </w:rPr>
            </w:pPr>
          </w:p>
        </w:tc>
      </w:tr>
      <w:tr w:rsidR="001605AC" w14:paraId="0F3D10C1"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6221CFB1"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4629B65B" w14:textId="77777777" w:rsidR="001605AC" w:rsidRDefault="001605AC"/>
        </w:tc>
        <w:tc>
          <w:tcPr>
            <w:tcW w:w="2971" w:type="dxa"/>
            <w:tcBorders>
              <w:top w:val="nil"/>
              <w:left w:val="nil"/>
              <w:bottom w:val="single" w:sz="4" w:space="0" w:color="auto"/>
              <w:right w:val="single" w:sz="8" w:space="0" w:color="auto"/>
            </w:tcBorders>
            <w:noWrap/>
            <w:vAlign w:val="center"/>
          </w:tcPr>
          <w:p w14:paraId="4945A0F7" w14:textId="77777777" w:rsidR="001605AC" w:rsidRDefault="001605AC">
            <w:pPr>
              <w:rPr>
                <w:rFonts w:ascii="Verdana" w:hAnsi="Verdana" w:cs="Arial"/>
                <w:sz w:val="20"/>
                <w:szCs w:val="20"/>
              </w:rPr>
            </w:pPr>
          </w:p>
        </w:tc>
      </w:tr>
      <w:tr w:rsidR="001605AC" w14:paraId="1488D54C"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24445285"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6C1E735C" w14:textId="77777777" w:rsidR="001605AC" w:rsidRDefault="001605AC"/>
        </w:tc>
        <w:tc>
          <w:tcPr>
            <w:tcW w:w="2971" w:type="dxa"/>
            <w:tcBorders>
              <w:top w:val="nil"/>
              <w:left w:val="nil"/>
              <w:bottom w:val="single" w:sz="4" w:space="0" w:color="auto"/>
              <w:right w:val="single" w:sz="8" w:space="0" w:color="auto"/>
            </w:tcBorders>
            <w:noWrap/>
            <w:vAlign w:val="center"/>
          </w:tcPr>
          <w:p w14:paraId="673C6F5B" w14:textId="77777777" w:rsidR="001605AC" w:rsidRDefault="001605AC">
            <w:pPr>
              <w:rPr>
                <w:rFonts w:ascii="Verdana" w:hAnsi="Verdana" w:cs="Arial"/>
                <w:sz w:val="20"/>
                <w:szCs w:val="20"/>
              </w:rPr>
            </w:pPr>
          </w:p>
        </w:tc>
      </w:tr>
      <w:tr w:rsidR="001605AC" w14:paraId="69C82632"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15245E97"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2F4D89B1" w14:textId="77777777" w:rsidR="001605AC" w:rsidRDefault="001605AC"/>
        </w:tc>
        <w:tc>
          <w:tcPr>
            <w:tcW w:w="2971" w:type="dxa"/>
            <w:tcBorders>
              <w:top w:val="nil"/>
              <w:left w:val="nil"/>
              <w:bottom w:val="single" w:sz="4" w:space="0" w:color="auto"/>
              <w:right w:val="single" w:sz="8" w:space="0" w:color="auto"/>
            </w:tcBorders>
            <w:noWrap/>
            <w:vAlign w:val="center"/>
          </w:tcPr>
          <w:p w14:paraId="4CA8260A" w14:textId="77777777" w:rsidR="001605AC" w:rsidRDefault="001605AC">
            <w:pPr>
              <w:rPr>
                <w:rFonts w:ascii="Verdana" w:hAnsi="Verdana" w:cs="Arial"/>
                <w:sz w:val="20"/>
                <w:szCs w:val="20"/>
              </w:rPr>
            </w:pPr>
          </w:p>
        </w:tc>
      </w:tr>
      <w:tr w:rsidR="001605AC" w14:paraId="0718EA9E"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26B9D7BD"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42963584" w14:textId="77777777" w:rsidR="001605AC" w:rsidRDefault="001605AC"/>
        </w:tc>
        <w:tc>
          <w:tcPr>
            <w:tcW w:w="2971" w:type="dxa"/>
            <w:tcBorders>
              <w:top w:val="nil"/>
              <w:left w:val="nil"/>
              <w:bottom w:val="single" w:sz="4" w:space="0" w:color="auto"/>
              <w:right w:val="single" w:sz="8" w:space="0" w:color="auto"/>
            </w:tcBorders>
            <w:noWrap/>
            <w:vAlign w:val="center"/>
          </w:tcPr>
          <w:p w14:paraId="178FEA36" w14:textId="77777777" w:rsidR="001605AC" w:rsidRDefault="001605AC">
            <w:pPr>
              <w:rPr>
                <w:rFonts w:ascii="Verdana" w:hAnsi="Verdana" w:cs="Arial"/>
                <w:sz w:val="20"/>
                <w:szCs w:val="20"/>
              </w:rPr>
            </w:pPr>
          </w:p>
        </w:tc>
      </w:tr>
      <w:tr w:rsidR="001605AC" w14:paraId="11A82D1B"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6CFF45A3" w14:textId="77777777" w:rsidR="001605AC" w:rsidRDefault="001605AC">
            <w:pPr>
              <w:rPr>
                <w:rFonts w:ascii="Verdana" w:hAnsi="Verdana" w:cs="Arial"/>
                <w:sz w:val="20"/>
                <w:szCs w:val="20"/>
              </w:rPr>
            </w:pPr>
          </w:p>
        </w:tc>
        <w:tc>
          <w:tcPr>
            <w:tcW w:w="2720" w:type="dxa"/>
            <w:tcBorders>
              <w:top w:val="nil"/>
              <w:left w:val="nil"/>
              <w:bottom w:val="single" w:sz="4" w:space="0" w:color="auto"/>
              <w:right w:val="single" w:sz="4" w:space="0" w:color="auto"/>
            </w:tcBorders>
            <w:noWrap/>
            <w:vAlign w:val="center"/>
          </w:tcPr>
          <w:p w14:paraId="181F6CF6" w14:textId="77777777" w:rsidR="001605AC" w:rsidRDefault="001605AC"/>
        </w:tc>
        <w:tc>
          <w:tcPr>
            <w:tcW w:w="2971" w:type="dxa"/>
            <w:tcBorders>
              <w:top w:val="nil"/>
              <w:left w:val="nil"/>
              <w:bottom w:val="single" w:sz="4" w:space="0" w:color="auto"/>
              <w:right w:val="single" w:sz="8" w:space="0" w:color="auto"/>
            </w:tcBorders>
            <w:noWrap/>
            <w:vAlign w:val="center"/>
          </w:tcPr>
          <w:p w14:paraId="08A3DED4" w14:textId="77777777" w:rsidR="001605AC" w:rsidRDefault="001605AC">
            <w:pPr>
              <w:rPr>
                <w:rFonts w:ascii="Verdana" w:hAnsi="Verdana" w:cs="Arial"/>
                <w:sz w:val="20"/>
                <w:szCs w:val="20"/>
              </w:rPr>
            </w:pPr>
          </w:p>
        </w:tc>
      </w:tr>
      <w:tr w:rsidR="001605AC" w14:paraId="09EDAE6A" w14:textId="77777777" w:rsidTr="001605AC">
        <w:trPr>
          <w:cantSplit/>
          <w:trHeight w:val="794"/>
        </w:trPr>
        <w:tc>
          <w:tcPr>
            <w:tcW w:w="2440" w:type="dxa"/>
            <w:tcBorders>
              <w:top w:val="single" w:sz="4" w:space="0" w:color="auto"/>
              <w:left w:val="single" w:sz="4" w:space="0" w:color="auto"/>
              <w:bottom w:val="single" w:sz="4" w:space="0" w:color="auto"/>
              <w:right w:val="single" w:sz="4" w:space="0" w:color="auto"/>
            </w:tcBorders>
            <w:noWrap/>
            <w:vAlign w:val="center"/>
          </w:tcPr>
          <w:p w14:paraId="06FC2C7D" w14:textId="77777777" w:rsidR="001605AC" w:rsidRDefault="001605AC">
            <w:pPr>
              <w:rPr>
                <w:rFonts w:ascii="Verdana" w:hAnsi="Verdana" w:cs="Arial"/>
                <w:sz w:val="20"/>
                <w:szCs w:val="20"/>
              </w:rPr>
            </w:pPr>
          </w:p>
        </w:tc>
        <w:tc>
          <w:tcPr>
            <w:tcW w:w="2720" w:type="dxa"/>
            <w:tcBorders>
              <w:top w:val="nil"/>
              <w:left w:val="nil"/>
              <w:bottom w:val="single" w:sz="8" w:space="0" w:color="auto"/>
              <w:right w:val="single" w:sz="4" w:space="0" w:color="auto"/>
            </w:tcBorders>
            <w:noWrap/>
            <w:vAlign w:val="center"/>
          </w:tcPr>
          <w:p w14:paraId="13435B9B" w14:textId="77777777" w:rsidR="001605AC" w:rsidRDefault="001605AC"/>
        </w:tc>
        <w:tc>
          <w:tcPr>
            <w:tcW w:w="2971" w:type="dxa"/>
            <w:tcBorders>
              <w:top w:val="nil"/>
              <w:left w:val="nil"/>
              <w:bottom w:val="single" w:sz="8" w:space="0" w:color="auto"/>
              <w:right w:val="single" w:sz="8" w:space="0" w:color="auto"/>
            </w:tcBorders>
            <w:noWrap/>
            <w:vAlign w:val="center"/>
          </w:tcPr>
          <w:p w14:paraId="1A1DF286" w14:textId="77777777" w:rsidR="001605AC" w:rsidRDefault="001605AC">
            <w:pPr>
              <w:rPr>
                <w:rFonts w:ascii="Verdana" w:hAnsi="Verdana" w:cs="Arial"/>
                <w:sz w:val="20"/>
                <w:szCs w:val="20"/>
              </w:rPr>
            </w:pPr>
          </w:p>
        </w:tc>
      </w:tr>
    </w:tbl>
    <w:p w14:paraId="7E48C0AA" w14:textId="77777777" w:rsidR="00180430" w:rsidRDefault="00180430"/>
    <w:sectPr w:rsidR="00180430">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6808" w14:textId="77777777" w:rsidR="00D27764" w:rsidRDefault="00D27764">
      <w:r>
        <w:separator/>
      </w:r>
    </w:p>
  </w:endnote>
  <w:endnote w:type="continuationSeparator" w:id="0">
    <w:p w14:paraId="7679D279" w14:textId="77777777" w:rsidR="00D27764" w:rsidRDefault="00D2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9FDD" w14:textId="77777777" w:rsidR="00857613" w:rsidRDefault="008576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D28F10" w14:textId="77777777" w:rsidR="00857613" w:rsidRDefault="008576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E170" w14:textId="77777777" w:rsidR="00857613" w:rsidRDefault="00857613">
    <w:pPr>
      <w:pStyle w:val="Voettekst"/>
      <w:framePr w:wrap="around" w:vAnchor="text" w:hAnchor="margin" w:xAlign="right" w:y="1"/>
      <w:rPr>
        <w:rStyle w:val="Paginanummer"/>
        <w:rFonts w:ascii="Verdana" w:hAnsi="Verdana"/>
        <w:sz w:val="20"/>
        <w:szCs w:val="20"/>
      </w:rPr>
    </w:pPr>
    <w:r>
      <w:rPr>
        <w:rStyle w:val="Paginanummer"/>
        <w:rFonts w:ascii="Verdana" w:hAnsi="Verdana"/>
        <w:sz w:val="20"/>
        <w:szCs w:val="20"/>
      </w:rPr>
      <w:fldChar w:fldCharType="begin"/>
    </w:r>
    <w:r>
      <w:rPr>
        <w:rStyle w:val="Paginanummer"/>
        <w:rFonts w:ascii="Verdana" w:hAnsi="Verdana"/>
        <w:sz w:val="20"/>
        <w:szCs w:val="20"/>
      </w:rPr>
      <w:instrText xml:space="preserve">PAGE  </w:instrText>
    </w:r>
    <w:r>
      <w:rPr>
        <w:rStyle w:val="Paginanummer"/>
        <w:rFonts w:ascii="Verdana" w:hAnsi="Verdana"/>
        <w:sz w:val="20"/>
        <w:szCs w:val="20"/>
      </w:rPr>
      <w:fldChar w:fldCharType="separate"/>
    </w:r>
    <w:r w:rsidR="004B4A11">
      <w:rPr>
        <w:rStyle w:val="Paginanummer"/>
        <w:rFonts w:ascii="Verdana" w:hAnsi="Verdana"/>
        <w:noProof/>
        <w:sz w:val="20"/>
        <w:szCs w:val="20"/>
      </w:rPr>
      <w:t>4</w:t>
    </w:r>
    <w:r>
      <w:rPr>
        <w:rStyle w:val="Paginanummer"/>
        <w:rFonts w:ascii="Verdana" w:hAnsi="Verdana"/>
        <w:sz w:val="20"/>
        <w:szCs w:val="20"/>
      </w:rPr>
      <w:fldChar w:fldCharType="end"/>
    </w:r>
  </w:p>
  <w:p w14:paraId="10996BBE" w14:textId="369E04E7" w:rsidR="00857613" w:rsidRDefault="00857613">
    <w:pPr>
      <w:pStyle w:val="Voettekst"/>
      <w:ind w:right="360"/>
      <w:jc w:val="center"/>
      <w:rPr>
        <w:rFonts w:ascii="Verdana" w:hAnsi="Verdana"/>
        <w:b/>
        <w:sz w:val="20"/>
        <w:szCs w:val="20"/>
      </w:rPr>
    </w:pPr>
    <w:r>
      <w:rPr>
        <w:rFonts w:ascii="Verdana" w:hAnsi="Verdana"/>
        <w:b/>
        <w:sz w:val="20"/>
        <w:szCs w:val="20"/>
      </w:rPr>
      <w:t>Deontologische code raadsleden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AF35" w14:textId="77777777" w:rsidR="00D27764" w:rsidRDefault="00D27764">
      <w:r>
        <w:separator/>
      </w:r>
    </w:p>
  </w:footnote>
  <w:footnote w:type="continuationSeparator" w:id="0">
    <w:p w14:paraId="3E043446" w14:textId="77777777" w:rsidR="00D27764" w:rsidRDefault="00D27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E1"/>
    <w:rsid w:val="001605AC"/>
    <w:rsid w:val="00180430"/>
    <w:rsid w:val="00383BE1"/>
    <w:rsid w:val="004B4A11"/>
    <w:rsid w:val="006C510A"/>
    <w:rsid w:val="00857613"/>
    <w:rsid w:val="008A3E69"/>
    <w:rsid w:val="00B51354"/>
    <w:rsid w:val="00D277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3BE0E"/>
  <w15:docId w15:val="{0107ECA8-F0A4-4098-A990-81E5450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Inhopg1">
    <w:name w:val="toc 1"/>
    <w:basedOn w:val="Standaard"/>
    <w:next w:val="Standaard"/>
    <w:autoRedefine/>
    <w:uiPriority w:val="39"/>
    <w:pPr>
      <w:tabs>
        <w:tab w:val="right" w:leader="dot" w:pos="9062"/>
      </w:tabs>
    </w:pPr>
    <w:rPr>
      <w:rFonts w:ascii="Verdana" w:hAnsi="Verdana"/>
      <w:b/>
      <w:noProof/>
      <w:sz w:val="20"/>
      <w:szCs w:val="20"/>
    </w:rPr>
  </w:style>
  <w:style w:type="paragraph" w:styleId="Inhopg2">
    <w:name w:val="toc 2"/>
    <w:basedOn w:val="Standaard"/>
    <w:next w:val="Standaard"/>
    <w:autoRedefine/>
    <w:uiPriority w:val="39"/>
    <w:pPr>
      <w:tabs>
        <w:tab w:val="right" w:leader="dot" w:pos="9062"/>
      </w:tabs>
      <w:ind w:left="240"/>
    </w:pPr>
    <w:rPr>
      <w:rFonts w:ascii="Verdana" w:hAnsi="Verdana"/>
      <w:i/>
      <w:noProof/>
      <w:snapToGrid w:val="0"/>
      <w:sz w:val="20"/>
      <w:szCs w:val="20"/>
    </w:rPr>
  </w:style>
  <w:style w:type="character" w:styleId="Hyperlink">
    <w:name w:val="Hyperlink"/>
    <w:basedOn w:val="Standaardalinea-lettertype"/>
    <w:uiPriority w:val="99"/>
    <w:rPr>
      <w:color w:val="0000FF"/>
      <w:u w:val="single"/>
    </w:rPr>
  </w:style>
  <w:style w:type="paragraph" w:styleId="Ballontekst">
    <w:name w:val="Balloon Text"/>
    <w:basedOn w:val="Standaard"/>
    <w:link w:val="BallontekstChar"/>
    <w:uiPriority w:val="99"/>
    <w:semiHidden/>
    <w:unhideWhenUsed/>
    <w:rsid w:val="008A3E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3E69"/>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1491</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DEONTOLOGISCHE CODE</vt:lpstr>
    </vt:vector>
  </TitlesOfParts>
  <Company/>
  <LinksUpToDate>false</LinksUpToDate>
  <CharactersWithSpaces>9673</CharactersWithSpaces>
  <SharedDoc>false</SharedDoc>
  <HLinks>
    <vt:vector size="138" baseType="variant">
      <vt:variant>
        <vt:i4>1245237</vt:i4>
      </vt:variant>
      <vt:variant>
        <vt:i4>134</vt:i4>
      </vt:variant>
      <vt:variant>
        <vt:i4>0</vt:i4>
      </vt:variant>
      <vt:variant>
        <vt:i4>5</vt:i4>
      </vt:variant>
      <vt:variant>
        <vt:lpwstr/>
      </vt:variant>
      <vt:variant>
        <vt:lpwstr>_Toc156277547</vt:lpwstr>
      </vt:variant>
      <vt:variant>
        <vt:i4>1245237</vt:i4>
      </vt:variant>
      <vt:variant>
        <vt:i4>128</vt:i4>
      </vt:variant>
      <vt:variant>
        <vt:i4>0</vt:i4>
      </vt:variant>
      <vt:variant>
        <vt:i4>5</vt:i4>
      </vt:variant>
      <vt:variant>
        <vt:lpwstr/>
      </vt:variant>
      <vt:variant>
        <vt:lpwstr>_Toc156277546</vt:lpwstr>
      </vt:variant>
      <vt:variant>
        <vt:i4>1245237</vt:i4>
      </vt:variant>
      <vt:variant>
        <vt:i4>122</vt:i4>
      </vt:variant>
      <vt:variant>
        <vt:i4>0</vt:i4>
      </vt:variant>
      <vt:variant>
        <vt:i4>5</vt:i4>
      </vt:variant>
      <vt:variant>
        <vt:lpwstr/>
      </vt:variant>
      <vt:variant>
        <vt:lpwstr>_Toc156277545</vt:lpwstr>
      </vt:variant>
      <vt:variant>
        <vt:i4>1245237</vt:i4>
      </vt:variant>
      <vt:variant>
        <vt:i4>116</vt:i4>
      </vt:variant>
      <vt:variant>
        <vt:i4>0</vt:i4>
      </vt:variant>
      <vt:variant>
        <vt:i4>5</vt:i4>
      </vt:variant>
      <vt:variant>
        <vt:lpwstr/>
      </vt:variant>
      <vt:variant>
        <vt:lpwstr>_Toc156277544</vt:lpwstr>
      </vt:variant>
      <vt:variant>
        <vt:i4>1245237</vt:i4>
      </vt:variant>
      <vt:variant>
        <vt:i4>110</vt:i4>
      </vt:variant>
      <vt:variant>
        <vt:i4>0</vt:i4>
      </vt:variant>
      <vt:variant>
        <vt:i4>5</vt:i4>
      </vt:variant>
      <vt:variant>
        <vt:lpwstr/>
      </vt:variant>
      <vt:variant>
        <vt:lpwstr>_Toc156277543</vt:lpwstr>
      </vt:variant>
      <vt:variant>
        <vt:i4>1245237</vt:i4>
      </vt:variant>
      <vt:variant>
        <vt:i4>104</vt:i4>
      </vt:variant>
      <vt:variant>
        <vt:i4>0</vt:i4>
      </vt:variant>
      <vt:variant>
        <vt:i4>5</vt:i4>
      </vt:variant>
      <vt:variant>
        <vt:lpwstr/>
      </vt:variant>
      <vt:variant>
        <vt:lpwstr>_Toc156277542</vt:lpwstr>
      </vt:variant>
      <vt:variant>
        <vt:i4>1245237</vt:i4>
      </vt:variant>
      <vt:variant>
        <vt:i4>98</vt:i4>
      </vt:variant>
      <vt:variant>
        <vt:i4>0</vt:i4>
      </vt:variant>
      <vt:variant>
        <vt:i4>5</vt:i4>
      </vt:variant>
      <vt:variant>
        <vt:lpwstr/>
      </vt:variant>
      <vt:variant>
        <vt:lpwstr>_Toc156277541</vt:lpwstr>
      </vt:variant>
      <vt:variant>
        <vt:i4>1245237</vt:i4>
      </vt:variant>
      <vt:variant>
        <vt:i4>92</vt:i4>
      </vt:variant>
      <vt:variant>
        <vt:i4>0</vt:i4>
      </vt:variant>
      <vt:variant>
        <vt:i4>5</vt:i4>
      </vt:variant>
      <vt:variant>
        <vt:lpwstr/>
      </vt:variant>
      <vt:variant>
        <vt:lpwstr>_Toc156277540</vt:lpwstr>
      </vt:variant>
      <vt:variant>
        <vt:i4>1310773</vt:i4>
      </vt:variant>
      <vt:variant>
        <vt:i4>86</vt:i4>
      </vt:variant>
      <vt:variant>
        <vt:i4>0</vt:i4>
      </vt:variant>
      <vt:variant>
        <vt:i4>5</vt:i4>
      </vt:variant>
      <vt:variant>
        <vt:lpwstr/>
      </vt:variant>
      <vt:variant>
        <vt:lpwstr>_Toc156277539</vt:lpwstr>
      </vt:variant>
      <vt:variant>
        <vt:i4>1310773</vt:i4>
      </vt:variant>
      <vt:variant>
        <vt:i4>80</vt:i4>
      </vt:variant>
      <vt:variant>
        <vt:i4>0</vt:i4>
      </vt:variant>
      <vt:variant>
        <vt:i4>5</vt:i4>
      </vt:variant>
      <vt:variant>
        <vt:lpwstr/>
      </vt:variant>
      <vt:variant>
        <vt:lpwstr>_Toc156277538</vt:lpwstr>
      </vt:variant>
      <vt:variant>
        <vt:i4>1310773</vt:i4>
      </vt:variant>
      <vt:variant>
        <vt:i4>74</vt:i4>
      </vt:variant>
      <vt:variant>
        <vt:i4>0</vt:i4>
      </vt:variant>
      <vt:variant>
        <vt:i4>5</vt:i4>
      </vt:variant>
      <vt:variant>
        <vt:lpwstr/>
      </vt:variant>
      <vt:variant>
        <vt:lpwstr>_Toc156277537</vt:lpwstr>
      </vt:variant>
      <vt:variant>
        <vt:i4>1310773</vt:i4>
      </vt:variant>
      <vt:variant>
        <vt:i4>68</vt:i4>
      </vt:variant>
      <vt:variant>
        <vt:i4>0</vt:i4>
      </vt:variant>
      <vt:variant>
        <vt:i4>5</vt:i4>
      </vt:variant>
      <vt:variant>
        <vt:lpwstr/>
      </vt:variant>
      <vt:variant>
        <vt:lpwstr>_Toc156277536</vt:lpwstr>
      </vt:variant>
      <vt:variant>
        <vt:i4>1310773</vt:i4>
      </vt:variant>
      <vt:variant>
        <vt:i4>62</vt:i4>
      </vt:variant>
      <vt:variant>
        <vt:i4>0</vt:i4>
      </vt:variant>
      <vt:variant>
        <vt:i4>5</vt:i4>
      </vt:variant>
      <vt:variant>
        <vt:lpwstr/>
      </vt:variant>
      <vt:variant>
        <vt:lpwstr>_Toc156277535</vt:lpwstr>
      </vt:variant>
      <vt:variant>
        <vt:i4>1310773</vt:i4>
      </vt:variant>
      <vt:variant>
        <vt:i4>56</vt:i4>
      </vt:variant>
      <vt:variant>
        <vt:i4>0</vt:i4>
      </vt:variant>
      <vt:variant>
        <vt:i4>5</vt:i4>
      </vt:variant>
      <vt:variant>
        <vt:lpwstr/>
      </vt:variant>
      <vt:variant>
        <vt:lpwstr>_Toc156277534</vt:lpwstr>
      </vt:variant>
      <vt:variant>
        <vt:i4>1310773</vt:i4>
      </vt:variant>
      <vt:variant>
        <vt:i4>50</vt:i4>
      </vt:variant>
      <vt:variant>
        <vt:i4>0</vt:i4>
      </vt:variant>
      <vt:variant>
        <vt:i4>5</vt:i4>
      </vt:variant>
      <vt:variant>
        <vt:lpwstr/>
      </vt:variant>
      <vt:variant>
        <vt:lpwstr>_Toc156277533</vt:lpwstr>
      </vt:variant>
      <vt:variant>
        <vt:i4>1310773</vt:i4>
      </vt:variant>
      <vt:variant>
        <vt:i4>44</vt:i4>
      </vt:variant>
      <vt:variant>
        <vt:i4>0</vt:i4>
      </vt:variant>
      <vt:variant>
        <vt:i4>5</vt:i4>
      </vt:variant>
      <vt:variant>
        <vt:lpwstr/>
      </vt:variant>
      <vt:variant>
        <vt:lpwstr>_Toc156277532</vt:lpwstr>
      </vt:variant>
      <vt:variant>
        <vt:i4>1310773</vt:i4>
      </vt:variant>
      <vt:variant>
        <vt:i4>38</vt:i4>
      </vt:variant>
      <vt:variant>
        <vt:i4>0</vt:i4>
      </vt:variant>
      <vt:variant>
        <vt:i4>5</vt:i4>
      </vt:variant>
      <vt:variant>
        <vt:lpwstr/>
      </vt:variant>
      <vt:variant>
        <vt:lpwstr>_Toc156277531</vt:lpwstr>
      </vt:variant>
      <vt:variant>
        <vt:i4>1310773</vt:i4>
      </vt:variant>
      <vt:variant>
        <vt:i4>32</vt:i4>
      </vt:variant>
      <vt:variant>
        <vt:i4>0</vt:i4>
      </vt:variant>
      <vt:variant>
        <vt:i4>5</vt:i4>
      </vt:variant>
      <vt:variant>
        <vt:lpwstr/>
      </vt:variant>
      <vt:variant>
        <vt:lpwstr>_Toc156277530</vt:lpwstr>
      </vt:variant>
      <vt:variant>
        <vt:i4>1376309</vt:i4>
      </vt:variant>
      <vt:variant>
        <vt:i4>26</vt:i4>
      </vt:variant>
      <vt:variant>
        <vt:i4>0</vt:i4>
      </vt:variant>
      <vt:variant>
        <vt:i4>5</vt:i4>
      </vt:variant>
      <vt:variant>
        <vt:lpwstr/>
      </vt:variant>
      <vt:variant>
        <vt:lpwstr>_Toc156277529</vt:lpwstr>
      </vt:variant>
      <vt:variant>
        <vt:i4>1376309</vt:i4>
      </vt:variant>
      <vt:variant>
        <vt:i4>20</vt:i4>
      </vt:variant>
      <vt:variant>
        <vt:i4>0</vt:i4>
      </vt:variant>
      <vt:variant>
        <vt:i4>5</vt:i4>
      </vt:variant>
      <vt:variant>
        <vt:lpwstr/>
      </vt:variant>
      <vt:variant>
        <vt:lpwstr>_Toc156277528</vt:lpwstr>
      </vt:variant>
      <vt:variant>
        <vt:i4>1376309</vt:i4>
      </vt:variant>
      <vt:variant>
        <vt:i4>14</vt:i4>
      </vt:variant>
      <vt:variant>
        <vt:i4>0</vt:i4>
      </vt:variant>
      <vt:variant>
        <vt:i4>5</vt:i4>
      </vt:variant>
      <vt:variant>
        <vt:lpwstr/>
      </vt:variant>
      <vt:variant>
        <vt:lpwstr>_Toc156277527</vt:lpwstr>
      </vt:variant>
      <vt:variant>
        <vt:i4>1376309</vt:i4>
      </vt:variant>
      <vt:variant>
        <vt:i4>8</vt:i4>
      </vt:variant>
      <vt:variant>
        <vt:i4>0</vt:i4>
      </vt:variant>
      <vt:variant>
        <vt:i4>5</vt:i4>
      </vt:variant>
      <vt:variant>
        <vt:lpwstr/>
      </vt:variant>
      <vt:variant>
        <vt:lpwstr>_Toc156277526</vt:lpwstr>
      </vt:variant>
      <vt:variant>
        <vt:i4>1376309</vt:i4>
      </vt:variant>
      <vt:variant>
        <vt:i4>2</vt:i4>
      </vt:variant>
      <vt:variant>
        <vt:i4>0</vt:i4>
      </vt:variant>
      <vt:variant>
        <vt:i4>5</vt:i4>
      </vt:variant>
      <vt:variant>
        <vt:lpwstr/>
      </vt:variant>
      <vt:variant>
        <vt:lpwstr>_Toc156277525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DEONTOLOGISCHE CODE</dc:title>
  <dc:subject/>
  <dc:creator>Wim Van der Schoot</dc:creator>
  <cp:keywords/>
  <dc:description/>
  <cp:lastModifiedBy>Tom De Munter</cp:lastModifiedBy>
  <cp:revision>3</cp:revision>
  <cp:lastPrinted>2007-01-15T08:27:00Z</cp:lastPrinted>
  <dcterms:created xsi:type="dcterms:W3CDTF">2013-01-14T07:08:00Z</dcterms:created>
  <dcterms:modified xsi:type="dcterms:W3CDTF">2019-03-27T10:44:00Z</dcterms:modified>
</cp:coreProperties>
</file>