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850B" w14:textId="7080F505" w:rsidR="00EC1F03" w:rsidRPr="004E489F" w:rsidRDefault="004F5F0E" w:rsidP="004A2EF3">
      <w:pPr>
        <w:pBdr>
          <w:bottom w:val="single" w:sz="4" w:space="1" w:color="auto"/>
        </w:pBdr>
        <w:jc w:val="both"/>
        <w:rPr>
          <w:b/>
          <w:bCs/>
        </w:rPr>
      </w:pPr>
      <w:r w:rsidRPr="004E489F">
        <w:rPr>
          <w:b/>
          <w:bCs/>
        </w:rPr>
        <w:t xml:space="preserve">Aanpassing </w:t>
      </w:r>
      <w:r w:rsidR="007F32D9" w:rsidRPr="004E489F">
        <w:rPr>
          <w:b/>
          <w:bCs/>
        </w:rPr>
        <w:t>rechtspositieregeling</w:t>
      </w:r>
      <w:r w:rsidRPr="004E489F">
        <w:rPr>
          <w:b/>
          <w:bCs/>
        </w:rPr>
        <w:t xml:space="preserve"> </w:t>
      </w:r>
      <w:r w:rsidR="004E489F" w:rsidRPr="004E489F">
        <w:rPr>
          <w:b/>
          <w:bCs/>
        </w:rPr>
        <w:t xml:space="preserve">voor gemeente- en </w:t>
      </w:r>
      <w:proofErr w:type="spellStart"/>
      <w:r w:rsidR="004E489F" w:rsidRPr="004E489F">
        <w:rPr>
          <w:b/>
          <w:bCs/>
        </w:rPr>
        <w:t>ocmw</w:t>
      </w:r>
      <w:proofErr w:type="spellEnd"/>
      <w:r w:rsidR="004E489F" w:rsidRPr="004E489F">
        <w:rPr>
          <w:b/>
          <w:bCs/>
        </w:rPr>
        <w:t xml:space="preserve">-personeel </w:t>
      </w:r>
      <w:r w:rsidR="004E489F">
        <w:rPr>
          <w:b/>
          <w:bCs/>
        </w:rPr>
        <w:t xml:space="preserve">van Kasterlee </w:t>
      </w:r>
      <w:r w:rsidR="004E489F" w:rsidRPr="004E489F">
        <w:rPr>
          <w:b/>
          <w:bCs/>
        </w:rPr>
        <w:t xml:space="preserve">m.b.t. </w:t>
      </w:r>
      <w:r w:rsidR="007F32D9" w:rsidRPr="004E489F">
        <w:rPr>
          <w:b/>
          <w:bCs/>
        </w:rPr>
        <w:t>fietsmobiliteit</w:t>
      </w:r>
      <w:r w:rsidR="008F6500" w:rsidRPr="004E489F">
        <w:rPr>
          <w:b/>
          <w:bCs/>
        </w:rPr>
        <w:t xml:space="preserve"> (fietslease, fietsaankoop, …)</w:t>
      </w:r>
    </w:p>
    <w:p w14:paraId="3887A92E" w14:textId="5915324F" w:rsidR="007F32D9" w:rsidRPr="007F32D9" w:rsidRDefault="007F32D9" w:rsidP="004A2EF3">
      <w:pPr>
        <w:pStyle w:val="Lijstalinea"/>
        <w:numPr>
          <w:ilvl w:val="0"/>
          <w:numId w:val="1"/>
        </w:numPr>
        <w:jc w:val="both"/>
        <w:rPr>
          <w:b/>
          <w:bCs/>
        </w:rPr>
      </w:pPr>
      <w:proofErr w:type="spellStart"/>
      <w:r w:rsidRPr="007F32D9">
        <w:rPr>
          <w:b/>
          <w:bCs/>
        </w:rPr>
        <w:t>Eindejaarstoelage</w:t>
      </w:r>
      <w:proofErr w:type="spellEnd"/>
    </w:p>
    <w:p w14:paraId="3BC150FB" w14:textId="6B02FDC9" w:rsidR="007F32D9" w:rsidRPr="007F32D9" w:rsidRDefault="007F32D9" w:rsidP="004A2EF3">
      <w:pPr>
        <w:jc w:val="both"/>
        <w:rPr>
          <w:i/>
          <w:iCs/>
        </w:rPr>
      </w:pPr>
      <w:r w:rsidRPr="00DF260D">
        <w:rPr>
          <w:b/>
          <w:bCs/>
          <w:i/>
          <w:iCs/>
        </w:rPr>
        <w:t>Artikel</w:t>
      </w:r>
      <w:r w:rsidR="00592386">
        <w:rPr>
          <w:b/>
          <w:bCs/>
          <w:i/>
          <w:iCs/>
        </w:rPr>
        <w:t xml:space="preserve"> 316</w:t>
      </w:r>
      <w:r w:rsidRPr="00DF260D">
        <w:rPr>
          <w:b/>
          <w:bCs/>
          <w:i/>
          <w:iCs/>
        </w:rPr>
        <w:t>bis</w:t>
      </w:r>
    </w:p>
    <w:p w14:paraId="43F3B4A9" w14:textId="317A4AD1" w:rsidR="00542DFE" w:rsidRDefault="00542DFE" w:rsidP="004A2EF3">
      <w:pPr>
        <w:jc w:val="both"/>
        <w:rPr>
          <w:i/>
          <w:iCs/>
        </w:rPr>
      </w:pPr>
      <w:r w:rsidRPr="30588096">
        <w:rPr>
          <w:b/>
          <w:bCs/>
          <w:i/>
          <w:iCs/>
        </w:rPr>
        <w:t>§1.</w:t>
      </w:r>
      <w:r w:rsidRPr="30588096">
        <w:rPr>
          <w:i/>
          <w:iCs/>
        </w:rPr>
        <w:t xml:space="preserve"> </w:t>
      </w:r>
      <w:r w:rsidR="007F32D9" w:rsidRPr="30588096">
        <w:rPr>
          <w:i/>
          <w:iCs/>
        </w:rPr>
        <w:t xml:space="preserve">De </w:t>
      </w:r>
      <w:proofErr w:type="spellStart"/>
      <w:r w:rsidR="007F32D9" w:rsidRPr="30588096">
        <w:rPr>
          <w:i/>
          <w:iCs/>
        </w:rPr>
        <w:t>eindejaarstoelage</w:t>
      </w:r>
      <w:proofErr w:type="spellEnd"/>
      <w:r w:rsidR="007F32D9" w:rsidRPr="30588096">
        <w:rPr>
          <w:i/>
          <w:iCs/>
        </w:rPr>
        <w:t xml:space="preserve"> kan </w:t>
      </w:r>
      <w:r w:rsidRPr="30588096">
        <w:rPr>
          <w:i/>
          <w:iCs/>
        </w:rPr>
        <w:t xml:space="preserve">op vraag van het personeelslid </w:t>
      </w:r>
      <w:r w:rsidR="00376A0A">
        <w:rPr>
          <w:i/>
          <w:iCs/>
        </w:rPr>
        <w:t xml:space="preserve">geheel of gedeeltelijk </w:t>
      </w:r>
      <w:r w:rsidR="007F32D9" w:rsidRPr="30588096">
        <w:rPr>
          <w:i/>
          <w:iCs/>
        </w:rPr>
        <w:t xml:space="preserve">worden omgezet in een theoretisch budget waarmee het personeelslid voordelen </w:t>
      </w:r>
      <w:r w:rsidR="00376A0A">
        <w:rPr>
          <w:i/>
          <w:iCs/>
        </w:rPr>
        <w:t xml:space="preserve">ter bevordering </w:t>
      </w:r>
      <w:r w:rsidR="00FA79D5" w:rsidRPr="30588096">
        <w:rPr>
          <w:i/>
          <w:iCs/>
        </w:rPr>
        <w:t xml:space="preserve">van fietsmobiliteit </w:t>
      </w:r>
      <w:r w:rsidR="007F32D9" w:rsidRPr="30588096">
        <w:rPr>
          <w:i/>
          <w:iCs/>
        </w:rPr>
        <w:t xml:space="preserve">kan kiezen, die gelijkwaardig zijn aan die van een </w:t>
      </w:r>
      <w:proofErr w:type="spellStart"/>
      <w:r w:rsidR="007F32D9" w:rsidRPr="30588096">
        <w:rPr>
          <w:i/>
          <w:iCs/>
        </w:rPr>
        <w:t>eindejaarstoelage</w:t>
      </w:r>
      <w:proofErr w:type="spellEnd"/>
      <w:r w:rsidR="007F32D9" w:rsidRPr="30588096">
        <w:rPr>
          <w:i/>
          <w:iCs/>
        </w:rPr>
        <w:t xml:space="preserve"> in geld zoals omschreven </w:t>
      </w:r>
      <w:r w:rsidRPr="30588096">
        <w:rPr>
          <w:i/>
          <w:iCs/>
        </w:rPr>
        <w:t xml:space="preserve">in </w:t>
      </w:r>
      <w:r w:rsidR="00DB2EF2" w:rsidRPr="30588096">
        <w:rPr>
          <w:i/>
          <w:iCs/>
        </w:rPr>
        <w:t>de Rechtspositiebesluiten</w:t>
      </w:r>
      <w:r w:rsidR="004E1FA3">
        <w:rPr>
          <w:i/>
          <w:iCs/>
        </w:rPr>
        <w:t xml:space="preserve"> </w:t>
      </w:r>
      <w:r w:rsidR="00406594">
        <w:rPr>
          <w:i/>
          <w:iCs/>
        </w:rPr>
        <w:t>van 7 december 2007 en 12 november 2010</w:t>
      </w:r>
      <w:r w:rsidR="007F32D9" w:rsidRPr="30588096">
        <w:rPr>
          <w:i/>
          <w:iCs/>
        </w:rPr>
        <w:t>.</w:t>
      </w:r>
      <w:r w:rsidR="00547DA4">
        <w:rPr>
          <w:i/>
          <w:iCs/>
        </w:rPr>
        <w:t xml:space="preserve"> In voorkomend geval is er geen of gedeeltelijk geen recht meer op de </w:t>
      </w:r>
      <w:proofErr w:type="spellStart"/>
      <w:r w:rsidR="00547DA4">
        <w:rPr>
          <w:i/>
          <w:iCs/>
        </w:rPr>
        <w:t>eindejaarstoelage</w:t>
      </w:r>
      <w:proofErr w:type="spellEnd"/>
      <w:r w:rsidR="00547DA4">
        <w:rPr>
          <w:i/>
          <w:iCs/>
        </w:rPr>
        <w:t>.</w:t>
      </w:r>
    </w:p>
    <w:p w14:paraId="722BFDFA" w14:textId="138B1063" w:rsidR="007F32D9" w:rsidRDefault="007F32D9" w:rsidP="004A2EF3">
      <w:pPr>
        <w:jc w:val="both"/>
        <w:rPr>
          <w:i/>
          <w:iCs/>
        </w:rPr>
      </w:pPr>
      <w:r w:rsidRPr="007F32D9">
        <w:rPr>
          <w:i/>
          <w:iCs/>
        </w:rPr>
        <w:t xml:space="preserve">Het theoretisch budget waarvan sprake in voorgaande lid </w:t>
      </w:r>
      <w:r w:rsidR="00376A0A">
        <w:rPr>
          <w:i/>
          <w:iCs/>
        </w:rPr>
        <w:t>is</w:t>
      </w:r>
      <w:r w:rsidR="00DB2EF2">
        <w:rPr>
          <w:i/>
          <w:iCs/>
        </w:rPr>
        <w:t xml:space="preserve"> </w:t>
      </w:r>
      <w:r w:rsidRPr="007F32D9">
        <w:rPr>
          <w:i/>
          <w:iCs/>
        </w:rPr>
        <w:t xml:space="preserve">niet opeisbaar. De voordelen die het personeelslid vrij kiest </w:t>
      </w:r>
      <w:r w:rsidR="00376A0A">
        <w:rPr>
          <w:i/>
          <w:iCs/>
        </w:rPr>
        <w:t>binnen de grenzen</w:t>
      </w:r>
      <w:r w:rsidRPr="007F32D9">
        <w:rPr>
          <w:i/>
          <w:iCs/>
        </w:rPr>
        <w:t xml:space="preserve"> van dit theoretisch budget, </w:t>
      </w:r>
      <w:r w:rsidR="00DB2EF2">
        <w:rPr>
          <w:i/>
          <w:iCs/>
        </w:rPr>
        <w:t>worden</w:t>
      </w:r>
      <w:r w:rsidR="00DB2EF2" w:rsidRPr="007F32D9">
        <w:rPr>
          <w:i/>
          <w:iCs/>
        </w:rPr>
        <w:t xml:space="preserve"> </w:t>
      </w:r>
      <w:r w:rsidRPr="007F32D9">
        <w:rPr>
          <w:i/>
          <w:iCs/>
        </w:rPr>
        <w:t xml:space="preserve">wel opeisbaar </w:t>
      </w:r>
      <w:r w:rsidR="00DB2EF2">
        <w:rPr>
          <w:i/>
          <w:iCs/>
        </w:rPr>
        <w:t>van zodra ze opgenomen worden</w:t>
      </w:r>
      <w:r w:rsidRPr="007F32D9">
        <w:rPr>
          <w:i/>
          <w:iCs/>
        </w:rPr>
        <w:t xml:space="preserve"> in een individueel akkoord tussen het personeelslid en </w:t>
      </w:r>
      <w:r w:rsidR="00DB2EF2">
        <w:rPr>
          <w:i/>
          <w:iCs/>
        </w:rPr>
        <w:t>zijn bestuur</w:t>
      </w:r>
      <w:r w:rsidRPr="007F32D9">
        <w:rPr>
          <w:i/>
          <w:iCs/>
        </w:rPr>
        <w:t xml:space="preserve">. Bij gebrek aan een individueel akkoord, blijft het recht op de </w:t>
      </w:r>
      <w:proofErr w:type="spellStart"/>
      <w:r w:rsidRPr="007F32D9">
        <w:rPr>
          <w:i/>
          <w:iCs/>
        </w:rPr>
        <w:t>eindejaarstoelage</w:t>
      </w:r>
      <w:proofErr w:type="spellEnd"/>
      <w:r w:rsidRPr="007F32D9">
        <w:rPr>
          <w:i/>
          <w:iCs/>
        </w:rPr>
        <w:t xml:space="preserve"> onverkort van toepassing.</w:t>
      </w:r>
    </w:p>
    <w:p w14:paraId="7A4135A4" w14:textId="2003D9AD" w:rsidR="00FB02E7" w:rsidRDefault="00FB02E7" w:rsidP="00FB02E7">
      <w:pPr>
        <w:jc w:val="both"/>
        <w:rPr>
          <w:i/>
          <w:iCs/>
        </w:rPr>
      </w:pPr>
      <w:r>
        <w:rPr>
          <w:i/>
          <w:iCs/>
        </w:rPr>
        <w:t xml:space="preserve">Het personeelslid moet zijn keuze om de </w:t>
      </w:r>
      <w:proofErr w:type="spellStart"/>
      <w:r>
        <w:rPr>
          <w:i/>
          <w:iCs/>
        </w:rPr>
        <w:t>eindejaarstoelage</w:t>
      </w:r>
      <w:proofErr w:type="spellEnd"/>
      <w:r>
        <w:rPr>
          <w:i/>
          <w:iCs/>
        </w:rPr>
        <w:t xml:space="preserve"> geheel of gedeeltelijk om te zetten maken </w:t>
      </w:r>
      <w:r w:rsidRPr="001A4AE8">
        <w:rPr>
          <w:i/>
          <w:iCs/>
        </w:rPr>
        <w:t xml:space="preserve">op een moment dat er nog geen verworven rechten op die </w:t>
      </w:r>
      <w:proofErr w:type="spellStart"/>
      <w:r w:rsidRPr="001A4AE8">
        <w:rPr>
          <w:i/>
          <w:iCs/>
        </w:rPr>
        <w:t>eindejaarstoelage</w:t>
      </w:r>
      <w:proofErr w:type="spellEnd"/>
      <w:r w:rsidRPr="001A4AE8">
        <w:rPr>
          <w:i/>
          <w:iCs/>
        </w:rPr>
        <w:t xml:space="preserve"> best</w:t>
      </w:r>
      <w:r>
        <w:rPr>
          <w:i/>
          <w:iCs/>
        </w:rPr>
        <w:t xml:space="preserve">aan.  Wanneer het personeelslid kiest voor een gedeeltelijke omzetting van de </w:t>
      </w:r>
      <w:proofErr w:type="spellStart"/>
      <w:r>
        <w:rPr>
          <w:i/>
          <w:iCs/>
        </w:rPr>
        <w:t>eindejaarstoelage</w:t>
      </w:r>
      <w:proofErr w:type="spellEnd"/>
      <w:r>
        <w:rPr>
          <w:i/>
          <w:iCs/>
        </w:rPr>
        <w:t xml:space="preserve">, vermindert hiermee het bruto bedrag van de </w:t>
      </w:r>
      <w:proofErr w:type="spellStart"/>
      <w:r>
        <w:rPr>
          <w:i/>
          <w:iCs/>
        </w:rPr>
        <w:t>eindejaarstoelage</w:t>
      </w:r>
      <w:proofErr w:type="spellEnd"/>
      <w:r>
        <w:rPr>
          <w:i/>
          <w:iCs/>
        </w:rPr>
        <w:t>.</w:t>
      </w:r>
      <w:r>
        <w:rPr>
          <w:rStyle w:val="Voetnootmarkering"/>
          <w:i/>
          <w:iCs/>
        </w:rPr>
        <w:footnoteReference w:id="1"/>
      </w:r>
    </w:p>
    <w:p w14:paraId="59005385" w14:textId="75AC48F2" w:rsidR="002C7992" w:rsidRDefault="007553DE" w:rsidP="004A2EF3">
      <w:pPr>
        <w:jc w:val="both"/>
        <w:rPr>
          <w:i/>
          <w:iCs/>
        </w:rPr>
      </w:pPr>
      <w:r w:rsidRPr="007553DE">
        <w:rPr>
          <w:i/>
          <w:iCs/>
        </w:rPr>
        <w:t xml:space="preserve">Indien het theoretisch budget meer was dan nodig voor de gekozen voordelen, wordt het saldo aan het personeelslid overgemaakt </w:t>
      </w:r>
      <w:r w:rsidR="00834F54">
        <w:rPr>
          <w:i/>
          <w:iCs/>
        </w:rPr>
        <w:t xml:space="preserve">na afhouding van de noodzakelijke bijdragen en uiterlijk op </w:t>
      </w:r>
      <w:r w:rsidR="004F5F0E">
        <w:rPr>
          <w:i/>
          <w:iCs/>
        </w:rPr>
        <w:t>1 maart van het volgende jaar</w:t>
      </w:r>
      <w:r w:rsidR="00C87205">
        <w:rPr>
          <w:i/>
          <w:iCs/>
        </w:rPr>
        <w:t>.</w:t>
      </w:r>
      <w:r>
        <w:rPr>
          <w:i/>
          <w:iCs/>
        </w:rPr>
        <w:t xml:space="preserve"> </w:t>
      </w:r>
      <w:r w:rsidR="002C7992">
        <w:rPr>
          <w:i/>
          <w:iCs/>
        </w:rPr>
        <w:t xml:space="preserve">In voorkomend geval worden die teruggestorte gelden beschouwd als een gewone premie in geld. </w:t>
      </w:r>
    </w:p>
    <w:p w14:paraId="3E047014" w14:textId="66961B6A" w:rsidR="00542DFE" w:rsidRPr="00542DFE" w:rsidRDefault="00542DFE" w:rsidP="004A2EF3">
      <w:pPr>
        <w:jc w:val="both"/>
      </w:pPr>
      <w:r w:rsidRPr="00DF260D">
        <w:rPr>
          <w:b/>
          <w:bCs/>
          <w:i/>
          <w:iCs/>
        </w:rPr>
        <w:t>§2.</w:t>
      </w:r>
      <w:r>
        <w:rPr>
          <w:i/>
          <w:iCs/>
        </w:rPr>
        <w:t xml:space="preserve"> De concrete modaliteiten over fietsmobiliteit worden uitgewerkt in een bijlage aan het arbeidsreglement.</w:t>
      </w:r>
    </w:p>
    <w:p w14:paraId="6E666A98" w14:textId="19B6EFB9" w:rsidR="007F32D9" w:rsidRPr="007F32D9" w:rsidRDefault="007F32D9" w:rsidP="004A2EF3">
      <w:pPr>
        <w:pStyle w:val="Lijstalinea"/>
        <w:numPr>
          <w:ilvl w:val="0"/>
          <w:numId w:val="1"/>
        </w:numPr>
        <w:tabs>
          <w:tab w:val="left" w:pos="1471"/>
        </w:tabs>
        <w:jc w:val="both"/>
        <w:rPr>
          <w:b/>
          <w:bCs/>
        </w:rPr>
      </w:pPr>
      <w:r w:rsidRPr="007F32D9">
        <w:rPr>
          <w:b/>
          <w:bCs/>
        </w:rPr>
        <w:t>Vakantiedagen</w:t>
      </w:r>
    </w:p>
    <w:p w14:paraId="64D07034" w14:textId="457509B8" w:rsidR="007F32D9" w:rsidRPr="007F32D9" w:rsidRDefault="007F32D9" w:rsidP="004A2EF3">
      <w:pPr>
        <w:tabs>
          <w:tab w:val="left" w:pos="1471"/>
        </w:tabs>
        <w:jc w:val="both"/>
        <w:rPr>
          <w:i/>
          <w:iCs/>
        </w:rPr>
      </w:pPr>
      <w:bookmarkStart w:id="0" w:name="_Hlk108599735"/>
      <w:r w:rsidRPr="00DF260D">
        <w:rPr>
          <w:b/>
          <w:bCs/>
          <w:i/>
          <w:iCs/>
        </w:rPr>
        <w:t xml:space="preserve">Artikel </w:t>
      </w:r>
      <w:r w:rsidR="004F5F0E">
        <w:rPr>
          <w:b/>
          <w:bCs/>
          <w:i/>
          <w:iCs/>
        </w:rPr>
        <w:t>164</w:t>
      </w:r>
      <w:r w:rsidRPr="00DF260D">
        <w:rPr>
          <w:b/>
          <w:bCs/>
          <w:i/>
          <w:iCs/>
        </w:rPr>
        <w:t>bis</w:t>
      </w:r>
      <w:r w:rsidRPr="007F32D9">
        <w:rPr>
          <w:i/>
          <w:iCs/>
        </w:rPr>
        <w:t xml:space="preserve"> </w:t>
      </w:r>
    </w:p>
    <w:bookmarkEnd w:id="0"/>
    <w:p w14:paraId="72F97F8C" w14:textId="1A5AF11D" w:rsidR="00542DFE" w:rsidRDefault="003615DD" w:rsidP="004A2EF3">
      <w:pPr>
        <w:tabs>
          <w:tab w:val="left" w:pos="1471"/>
        </w:tabs>
        <w:jc w:val="both"/>
        <w:rPr>
          <w:i/>
          <w:iCs/>
        </w:rPr>
      </w:pPr>
      <w:r w:rsidRPr="30588096">
        <w:rPr>
          <w:b/>
          <w:bCs/>
          <w:i/>
          <w:iCs/>
        </w:rPr>
        <w:t>§1.</w:t>
      </w:r>
      <w:r w:rsidRPr="30588096">
        <w:rPr>
          <w:i/>
          <w:iCs/>
        </w:rPr>
        <w:t xml:space="preserve"> </w:t>
      </w:r>
      <w:r w:rsidR="00542DFE" w:rsidRPr="30588096">
        <w:rPr>
          <w:i/>
          <w:iCs/>
        </w:rPr>
        <w:t xml:space="preserve">Het personeelslid kan </w:t>
      </w:r>
      <w:r w:rsidR="00B55381">
        <w:rPr>
          <w:i/>
          <w:iCs/>
        </w:rPr>
        <w:t>op vraag van het personeelslid</w:t>
      </w:r>
      <w:r w:rsidR="00542DFE" w:rsidRPr="30588096">
        <w:rPr>
          <w:i/>
          <w:iCs/>
        </w:rPr>
        <w:t xml:space="preserve"> vakantiedagen, die per kalenderjaar boven het minimum van 28 (als het recht op minimum 30 vakantiedagen is vastgesteld) en 24 (als het recht op 26 vakantiedagen is vastgesteld) dagen uitstijgen, </w:t>
      </w:r>
      <w:r w:rsidR="00376A0A">
        <w:rPr>
          <w:i/>
          <w:iCs/>
        </w:rPr>
        <w:t>om</w:t>
      </w:r>
      <w:r w:rsidR="00A87CF1">
        <w:rPr>
          <w:i/>
          <w:iCs/>
        </w:rPr>
        <w:t>zetten</w:t>
      </w:r>
      <w:r w:rsidR="00542DFE" w:rsidRPr="30588096">
        <w:rPr>
          <w:i/>
          <w:iCs/>
        </w:rPr>
        <w:t xml:space="preserve"> </w:t>
      </w:r>
      <w:r w:rsidR="00547DA4">
        <w:rPr>
          <w:i/>
          <w:iCs/>
        </w:rPr>
        <w:t>naar een the</w:t>
      </w:r>
      <w:r w:rsidR="007553DE">
        <w:rPr>
          <w:i/>
          <w:iCs/>
        </w:rPr>
        <w:t xml:space="preserve">oretisch budget welke aangewend kan worden </w:t>
      </w:r>
      <w:r w:rsidR="00376A0A">
        <w:rPr>
          <w:i/>
          <w:iCs/>
        </w:rPr>
        <w:t xml:space="preserve">ter bevordering </w:t>
      </w:r>
      <w:r w:rsidR="00376A0A" w:rsidRPr="30588096">
        <w:rPr>
          <w:i/>
          <w:iCs/>
        </w:rPr>
        <w:t>van fietsmobiliteit</w:t>
      </w:r>
      <w:r w:rsidR="00376A0A">
        <w:rPr>
          <w:i/>
          <w:iCs/>
        </w:rPr>
        <w:t>.</w:t>
      </w:r>
      <w:r w:rsidR="00FB02E7">
        <w:rPr>
          <w:i/>
          <w:iCs/>
        </w:rPr>
        <w:t xml:space="preserve"> In voorkomend geval is er geen of gedeeltelijk geen recht meer op de bijkomende vakantiedagen.</w:t>
      </w:r>
    </w:p>
    <w:p w14:paraId="2B6D5927" w14:textId="2DE09737" w:rsidR="007F32D9" w:rsidRDefault="007F32D9" w:rsidP="004A2EF3">
      <w:pPr>
        <w:tabs>
          <w:tab w:val="left" w:pos="1471"/>
        </w:tabs>
        <w:jc w:val="both"/>
        <w:rPr>
          <w:i/>
          <w:iCs/>
        </w:rPr>
      </w:pPr>
      <w:r w:rsidRPr="007F32D9">
        <w:rPr>
          <w:i/>
          <w:iCs/>
        </w:rPr>
        <w:t>De</w:t>
      </w:r>
      <w:r w:rsidR="006C2129">
        <w:rPr>
          <w:i/>
          <w:iCs/>
        </w:rPr>
        <w:t xml:space="preserve"> in het </w:t>
      </w:r>
      <w:r w:rsidR="00CD00D6">
        <w:rPr>
          <w:i/>
          <w:iCs/>
        </w:rPr>
        <w:t xml:space="preserve">eerste </w:t>
      </w:r>
      <w:r w:rsidR="006C2129">
        <w:rPr>
          <w:i/>
          <w:iCs/>
        </w:rPr>
        <w:t>lid vermelde</w:t>
      </w:r>
      <w:r w:rsidRPr="007F32D9">
        <w:rPr>
          <w:i/>
          <w:iCs/>
        </w:rPr>
        <w:t xml:space="preserve"> </w:t>
      </w:r>
      <w:r>
        <w:rPr>
          <w:i/>
          <w:iCs/>
        </w:rPr>
        <w:t>vakantiedagen kunnen</w:t>
      </w:r>
      <w:r w:rsidRPr="007F32D9">
        <w:rPr>
          <w:i/>
          <w:iCs/>
        </w:rPr>
        <w:t xml:space="preserve"> worden omgezet in een theoretisch budget waarmee het personeelslid andere </w:t>
      </w:r>
      <w:r w:rsidR="00376A0A" w:rsidRPr="30588096">
        <w:rPr>
          <w:i/>
          <w:iCs/>
        </w:rPr>
        <w:t xml:space="preserve">voordelen </w:t>
      </w:r>
      <w:r w:rsidR="00376A0A">
        <w:rPr>
          <w:i/>
          <w:iCs/>
        </w:rPr>
        <w:t xml:space="preserve">ter bevordering </w:t>
      </w:r>
      <w:r w:rsidR="00376A0A" w:rsidRPr="30588096">
        <w:rPr>
          <w:i/>
          <w:iCs/>
        </w:rPr>
        <w:t>van fietsmobiliteit</w:t>
      </w:r>
      <w:r w:rsidR="00376A0A" w:rsidRPr="007F32D9">
        <w:rPr>
          <w:i/>
          <w:iCs/>
        </w:rPr>
        <w:t xml:space="preserve"> </w:t>
      </w:r>
      <w:r w:rsidRPr="007F32D9">
        <w:rPr>
          <w:i/>
          <w:iCs/>
        </w:rPr>
        <w:t xml:space="preserve">kan kiezen, die gelijkwaardig zijn aan die van een </w:t>
      </w:r>
      <w:r w:rsidR="00446221">
        <w:rPr>
          <w:i/>
          <w:iCs/>
        </w:rPr>
        <w:t>vakantiedag</w:t>
      </w:r>
      <w:r w:rsidRPr="007F32D9">
        <w:rPr>
          <w:i/>
          <w:iCs/>
        </w:rPr>
        <w:t xml:space="preserve"> zoals omschreven </w:t>
      </w:r>
      <w:r w:rsidR="006C2129">
        <w:rPr>
          <w:i/>
          <w:iCs/>
        </w:rPr>
        <w:t>in de Rechtspositiebesluiten</w:t>
      </w:r>
      <w:r w:rsidR="00427B0C">
        <w:rPr>
          <w:i/>
          <w:iCs/>
        </w:rPr>
        <w:t xml:space="preserve"> van 7 december 2007 en van 12 november 2010</w:t>
      </w:r>
      <w:r w:rsidRPr="007F32D9">
        <w:rPr>
          <w:i/>
          <w:iCs/>
        </w:rPr>
        <w:t xml:space="preserve">. </w:t>
      </w:r>
    </w:p>
    <w:p w14:paraId="7DBC7E55" w14:textId="259C6B72" w:rsidR="00E95A4E" w:rsidRPr="007F32D9" w:rsidRDefault="00E95A4E" w:rsidP="004A2EF3">
      <w:pPr>
        <w:tabs>
          <w:tab w:val="left" w:pos="1471"/>
        </w:tabs>
        <w:jc w:val="both"/>
        <w:rPr>
          <w:i/>
          <w:iCs/>
        </w:rPr>
      </w:pPr>
      <w:r>
        <w:rPr>
          <w:i/>
          <w:iCs/>
        </w:rPr>
        <w:t xml:space="preserve">Het personeelslid moet zijn keuze maken om een of meerdere bijkomende vakantiedagen om te zetten ten laatste op de laatste werkdag van het kalenderjaar voorafgaand aan het jaar waarin de voordelen ter bevordering van fietsmobiliteit worden aangevraagd.  </w:t>
      </w:r>
    </w:p>
    <w:p w14:paraId="1A174FF2" w14:textId="41BD389A" w:rsidR="007F32D9" w:rsidRDefault="007F32D9" w:rsidP="004A2EF3">
      <w:pPr>
        <w:tabs>
          <w:tab w:val="left" w:pos="1471"/>
        </w:tabs>
        <w:jc w:val="both"/>
        <w:rPr>
          <w:i/>
          <w:iCs/>
        </w:rPr>
      </w:pPr>
      <w:r w:rsidRPr="007F32D9">
        <w:rPr>
          <w:i/>
          <w:iCs/>
        </w:rPr>
        <w:lastRenderedPageBreak/>
        <w:t xml:space="preserve">Het theoretisch budget waarvan sprake in voorgaande lid </w:t>
      </w:r>
      <w:r w:rsidR="00376A0A">
        <w:rPr>
          <w:i/>
          <w:iCs/>
        </w:rPr>
        <w:t xml:space="preserve">is </w:t>
      </w:r>
      <w:r w:rsidRPr="007F32D9">
        <w:rPr>
          <w:i/>
          <w:iCs/>
        </w:rPr>
        <w:t>niet opeisbaar. De voordelen die het personeelslid vrij kiest aan de hand van dit theoretisch budget,</w:t>
      </w:r>
      <w:r w:rsidR="003615DD">
        <w:rPr>
          <w:i/>
          <w:iCs/>
        </w:rPr>
        <w:t xml:space="preserve"> worden</w:t>
      </w:r>
      <w:r w:rsidRPr="007F32D9">
        <w:rPr>
          <w:i/>
          <w:iCs/>
        </w:rPr>
        <w:t xml:space="preserve"> wel opeisbaar</w:t>
      </w:r>
      <w:r w:rsidR="003615DD">
        <w:rPr>
          <w:i/>
          <w:iCs/>
        </w:rPr>
        <w:t xml:space="preserve"> van zodra ze opgenomen worden </w:t>
      </w:r>
      <w:r w:rsidRPr="007F32D9">
        <w:rPr>
          <w:i/>
          <w:iCs/>
        </w:rPr>
        <w:t xml:space="preserve">in een individueel akkoord tussen het personeelslid en </w:t>
      </w:r>
      <w:r w:rsidR="003615DD">
        <w:rPr>
          <w:i/>
          <w:iCs/>
        </w:rPr>
        <w:t>zijn bestuur</w:t>
      </w:r>
      <w:r w:rsidRPr="007F32D9">
        <w:rPr>
          <w:i/>
          <w:iCs/>
        </w:rPr>
        <w:t xml:space="preserve">. Bij gebrek aan een individueel akkoord, blijft het recht op de </w:t>
      </w:r>
      <w:r w:rsidR="00446221">
        <w:rPr>
          <w:i/>
          <w:iCs/>
        </w:rPr>
        <w:t>vakantiedagen</w:t>
      </w:r>
      <w:r w:rsidRPr="007F32D9">
        <w:rPr>
          <w:i/>
          <w:iCs/>
        </w:rPr>
        <w:t xml:space="preserve"> onverkort van toepassing.</w:t>
      </w:r>
    </w:p>
    <w:p w14:paraId="2B1A8941" w14:textId="7A7EB030" w:rsidR="003615DD" w:rsidRPr="003615DD" w:rsidRDefault="003615DD" w:rsidP="004A2EF3">
      <w:pPr>
        <w:jc w:val="both"/>
      </w:pPr>
      <w:r w:rsidRPr="00DF260D">
        <w:rPr>
          <w:b/>
          <w:bCs/>
          <w:i/>
          <w:iCs/>
        </w:rPr>
        <w:t>§2.</w:t>
      </w:r>
      <w:r>
        <w:rPr>
          <w:i/>
          <w:iCs/>
        </w:rPr>
        <w:t xml:space="preserve"> De concrete modaliteiten over fietsmobiliteit worden uitgewerkt in een bijlage</w:t>
      </w:r>
      <w:r w:rsidR="00252B75">
        <w:rPr>
          <w:i/>
          <w:iCs/>
        </w:rPr>
        <w:t xml:space="preserve"> </w:t>
      </w:r>
      <w:r>
        <w:rPr>
          <w:i/>
          <w:iCs/>
        </w:rPr>
        <w:t>aan het arbeidsreglement.</w:t>
      </w:r>
    </w:p>
    <w:p w14:paraId="68D39821" w14:textId="273AB1D6" w:rsidR="007F32D9" w:rsidRPr="00C0315F" w:rsidRDefault="007F32D9" w:rsidP="004A2EF3">
      <w:pPr>
        <w:pStyle w:val="Lijstalinea"/>
        <w:numPr>
          <w:ilvl w:val="0"/>
          <w:numId w:val="1"/>
        </w:numPr>
        <w:tabs>
          <w:tab w:val="left" w:pos="1471"/>
        </w:tabs>
        <w:jc w:val="both"/>
        <w:rPr>
          <w:b/>
          <w:bCs/>
        </w:rPr>
      </w:pPr>
      <w:r w:rsidRPr="007F32D9">
        <w:rPr>
          <w:b/>
          <w:bCs/>
        </w:rPr>
        <w:t>Fietsvergoeding</w:t>
      </w:r>
    </w:p>
    <w:p w14:paraId="2078F6D8" w14:textId="46FB1D87" w:rsidR="00C0315F" w:rsidRPr="00C0315F" w:rsidRDefault="00C0315F" w:rsidP="00C0315F">
      <w:pPr>
        <w:tabs>
          <w:tab w:val="left" w:pos="1471"/>
        </w:tabs>
        <w:jc w:val="both"/>
        <w:rPr>
          <w:i/>
          <w:iCs/>
        </w:rPr>
      </w:pPr>
      <w:r w:rsidRPr="00C0315F">
        <w:rPr>
          <w:b/>
          <w:bCs/>
          <w:i/>
          <w:iCs/>
        </w:rPr>
        <w:t xml:space="preserve">Artikel </w:t>
      </w:r>
      <w:r>
        <w:rPr>
          <w:b/>
          <w:bCs/>
          <w:i/>
          <w:iCs/>
        </w:rPr>
        <w:t>349</w:t>
      </w:r>
      <w:r w:rsidRPr="00C0315F">
        <w:rPr>
          <w:b/>
          <w:bCs/>
          <w:i/>
          <w:iCs/>
        </w:rPr>
        <w:t>bis</w:t>
      </w:r>
      <w:r w:rsidRPr="00C0315F">
        <w:rPr>
          <w:i/>
          <w:iCs/>
        </w:rPr>
        <w:t xml:space="preserve"> </w:t>
      </w:r>
    </w:p>
    <w:p w14:paraId="2585C094" w14:textId="1A7FC589" w:rsidR="003615DD" w:rsidRDefault="003615DD" w:rsidP="004A2EF3">
      <w:pPr>
        <w:jc w:val="both"/>
        <w:rPr>
          <w:i/>
          <w:iCs/>
        </w:rPr>
      </w:pPr>
      <w:r w:rsidRPr="43D93D58">
        <w:rPr>
          <w:b/>
          <w:bCs/>
          <w:i/>
          <w:iCs/>
        </w:rPr>
        <w:t>§1.</w:t>
      </w:r>
      <w:r w:rsidRPr="43D93D58">
        <w:rPr>
          <w:i/>
          <w:iCs/>
        </w:rPr>
        <w:t xml:space="preserve"> Het personeelslid kan op </w:t>
      </w:r>
      <w:r w:rsidR="00B55381">
        <w:rPr>
          <w:i/>
          <w:iCs/>
        </w:rPr>
        <w:t>vraag van het personeelslid</w:t>
      </w:r>
      <w:r w:rsidRPr="43D93D58">
        <w:rPr>
          <w:i/>
          <w:iCs/>
        </w:rPr>
        <w:t xml:space="preserve"> het budget van fietsvergoeding zoals opgebouwd volgens deze rechtspositieregeling, geheel of gedeeltelijk </w:t>
      </w:r>
      <w:r w:rsidR="00052BA3">
        <w:rPr>
          <w:i/>
          <w:iCs/>
        </w:rPr>
        <w:t>inzetten</w:t>
      </w:r>
      <w:r w:rsidRPr="43D93D58">
        <w:rPr>
          <w:i/>
          <w:iCs/>
        </w:rPr>
        <w:t xml:space="preserve"> voor de </w:t>
      </w:r>
      <w:r w:rsidR="00376A0A" w:rsidRPr="30588096">
        <w:rPr>
          <w:i/>
          <w:iCs/>
        </w:rPr>
        <w:t xml:space="preserve">voordelen </w:t>
      </w:r>
      <w:r w:rsidR="00376A0A">
        <w:rPr>
          <w:i/>
          <w:iCs/>
        </w:rPr>
        <w:t xml:space="preserve">ter bevordering </w:t>
      </w:r>
      <w:r w:rsidR="00376A0A" w:rsidRPr="30588096">
        <w:rPr>
          <w:i/>
          <w:iCs/>
        </w:rPr>
        <w:t>van fietsmobiliteit</w:t>
      </w:r>
      <w:r w:rsidRPr="43D93D58">
        <w:rPr>
          <w:i/>
          <w:iCs/>
        </w:rPr>
        <w:t xml:space="preserve">. </w:t>
      </w:r>
    </w:p>
    <w:p w14:paraId="78806F14" w14:textId="6E082749" w:rsidR="00CD00D6" w:rsidRDefault="00CD00D6" w:rsidP="008E76AB">
      <w:pPr>
        <w:tabs>
          <w:tab w:val="left" w:pos="1471"/>
        </w:tabs>
        <w:jc w:val="both"/>
        <w:rPr>
          <w:i/>
          <w:iCs/>
        </w:rPr>
      </w:pPr>
      <w:r w:rsidRPr="007F32D9">
        <w:rPr>
          <w:i/>
          <w:iCs/>
        </w:rPr>
        <w:t>De</w:t>
      </w:r>
      <w:r>
        <w:rPr>
          <w:i/>
          <w:iCs/>
        </w:rPr>
        <w:t xml:space="preserve"> in het eerste lid vermelde</w:t>
      </w:r>
      <w:r w:rsidRPr="007F32D9">
        <w:rPr>
          <w:i/>
          <w:iCs/>
        </w:rPr>
        <w:t xml:space="preserve"> </w:t>
      </w:r>
      <w:r>
        <w:rPr>
          <w:i/>
          <w:iCs/>
        </w:rPr>
        <w:t>fietsvergoeding kan</w:t>
      </w:r>
      <w:r w:rsidRPr="007F32D9">
        <w:rPr>
          <w:i/>
          <w:iCs/>
        </w:rPr>
        <w:t xml:space="preserve"> worden </w:t>
      </w:r>
      <w:r w:rsidR="00052BA3">
        <w:rPr>
          <w:i/>
          <w:iCs/>
        </w:rPr>
        <w:t>ingezet</w:t>
      </w:r>
      <w:r w:rsidRPr="007F32D9">
        <w:rPr>
          <w:i/>
          <w:iCs/>
        </w:rPr>
        <w:t xml:space="preserve"> </w:t>
      </w:r>
      <w:r w:rsidR="00052BA3">
        <w:rPr>
          <w:i/>
          <w:iCs/>
        </w:rPr>
        <w:t xml:space="preserve">voor </w:t>
      </w:r>
      <w:r w:rsidRPr="007F32D9">
        <w:rPr>
          <w:i/>
          <w:iCs/>
        </w:rPr>
        <w:t xml:space="preserve">andere </w:t>
      </w:r>
      <w:r w:rsidRPr="30588096">
        <w:rPr>
          <w:i/>
          <w:iCs/>
        </w:rPr>
        <w:t xml:space="preserve">voordelen </w:t>
      </w:r>
      <w:r>
        <w:rPr>
          <w:i/>
          <w:iCs/>
        </w:rPr>
        <w:t xml:space="preserve">ter bevordering </w:t>
      </w:r>
      <w:r w:rsidRPr="30588096">
        <w:rPr>
          <w:i/>
          <w:iCs/>
        </w:rPr>
        <w:t>van fietsmobiliteit</w:t>
      </w:r>
      <w:r w:rsidRPr="007F32D9">
        <w:rPr>
          <w:i/>
          <w:iCs/>
        </w:rPr>
        <w:t xml:space="preserve"> kan kiezen, die gelijkwaardig zijn aan die van </w:t>
      </w:r>
      <w:r>
        <w:rPr>
          <w:i/>
          <w:iCs/>
        </w:rPr>
        <w:t>de fietsvergoeding</w:t>
      </w:r>
      <w:r w:rsidRPr="007F32D9">
        <w:rPr>
          <w:i/>
          <w:iCs/>
        </w:rPr>
        <w:t xml:space="preserve"> zoals omschreven </w:t>
      </w:r>
      <w:r>
        <w:rPr>
          <w:i/>
          <w:iCs/>
        </w:rPr>
        <w:t xml:space="preserve">in de </w:t>
      </w:r>
      <w:r w:rsidR="006E3740">
        <w:rPr>
          <w:i/>
          <w:iCs/>
        </w:rPr>
        <w:t>Rechtspositiebesluiten</w:t>
      </w:r>
      <w:r w:rsidR="006B59C1">
        <w:rPr>
          <w:i/>
          <w:iCs/>
        </w:rPr>
        <w:t xml:space="preserve"> van 7 december 2007 en van 12 november 2010</w:t>
      </w:r>
      <w:r>
        <w:rPr>
          <w:i/>
          <w:iCs/>
        </w:rPr>
        <w:t xml:space="preserve">. </w:t>
      </w:r>
    </w:p>
    <w:p w14:paraId="306052B2" w14:textId="02E8B72B" w:rsidR="00CD00D6" w:rsidRDefault="008E76AB" w:rsidP="008E76AB">
      <w:pPr>
        <w:tabs>
          <w:tab w:val="left" w:pos="1471"/>
        </w:tabs>
        <w:jc w:val="both"/>
        <w:rPr>
          <w:i/>
          <w:iCs/>
        </w:rPr>
      </w:pPr>
      <w:r>
        <w:rPr>
          <w:i/>
          <w:iCs/>
        </w:rPr>
        <w:t xml:space="preserve">Het personeelslid moet zijn keuze maken om </w:t>
      </w:r>
      <w:r w:rsidR="00CD00D6">
        <w:rPr>
          <w:i/>
          <w:iCs/>
        </w:rPr>
        <w:t xml:space="preserve">zijn </w:t>
      </w:r>
      <w:r w:rsidR="00467676">
        <w:rPr>
          <w:i/>
          <w:iCs/>
        </w:rPr>
        <w:t xml:space="preserve">fietsvergoeding </w:t>
      </w:r>
      <w:r>
        <w:rPr>
          <w:i/>
          <w:iCs/>
        </w:rPr>
        <w:t xml:space="preserve">om te zetten ten laatste op de laatste werkdag van het kalenderjaar voorafgaand aan het jaar waarin de voordelen ter bevordering van fietsmobiliteit worden aangevraagd.  </w:t>
      </w:r>
    </w:p>
    <w:p w14:paraId="7FB6B28B" w14:textId="6FB00DB3" w:rsidR="00446221" w:rsidRPr="00446221" w:rsidRDefault="003615DD" w:rsidP="004A2EF3">
      <w:pPr>
        <w:jc w:val="both"/>
      </w:pPr>
      <w:r w:rsidRPr="00DF260D">
        <w:rPr>
          <w:b/>
          <w:bCs/>
          <w:i/>
          <w:iCs/>
        </w:rPr>
        <w:t>§2.</w:t>
      </w:r>
      <w:r>
        <w:rPr>
          <w:i/>
          <w:iCs/>
        </w:rPr>
        <w:t xml:space="preserve"> De concrete modaliteiten over fietsmobiliteit worden uitgewerkt in een bijlage aan het arbeidsreglement.</w:t>
      </w:r>
    </w:p>
    <w:sectPr w:rsidR="00446221" w:rsidRPr="004462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820E" w14:textId="77777777" w:rsidR="00B53385" w:rsidRDefault="00B53385" w:rsidP="00594DA0">
      <w:pPr>
        <w:spacing w:after="0" w:line="240" w:lineRule="auto"/>
      </w:pPr>
      <w:r>
        <w:separator/>
      </w:r>
    </w:p>
  </w:endnote>
  <w:endnote w:type="continuationSeparator" w:id="0">
    <w:p w14:paraId="292F6CAC" w14:textId="77777777" w:rsidR="00B53385" w:rsidRDefault="00B53385" w:rsidP="0059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A6BCF" w14:textId="77777777" w:rsidR="00B53385" w:rsidRDefault="00B53385" w:rsidP="00594DA0">
      <w:pPr>
        <w:spacing w:after="0" w:line="240" w:lineRule="auto"/>
      </w:pPr>
      <w:r>
        <w:separator/>
      </w:r>
    </w:p>
  </w:footnote>
  <w:footnote w:type="continuationSeparator" w:id="0">
    <w:p w14:paraId="4E880143" w14:textId="77777777" w:rsidR="00B53385" w:rsidRDefault="00B53385" w:rsidP="00594DA0">
      <w:pPr>
        <w:spacing w:after="0" w:line="240" w:lineRule="auto"/>
      </w:pPr>
      <w:r>
        <w:continuationSeparator/>
      </w:r>
    </w:p>
  </w:footnote>
  <w:footnote w:id="1">
    <w:p w14:paraId="32B3D90D" w14:textId="77777777" w:rsidR="00FB02E7" w:rsidRPr="00594DA0" w:rsidRDefault="00FB02E7" w:rsidP="00FB02E7">
      <w:pPr>
        <w:pStyle w:val="Voetnoottekst"/>
      </w:pPr>
      <w:r>
        <w:rPr>
          <w:rStyle w:val="Voetnootmarkering"/>
        </w:rPr>
        <w:footnoteRef/>
      </w:r>
      <w:r>
        <w:t xml:space="preserve"> Ter info</w:t>
      </w:r>
      <w:r w:rsidRPr="00594DA0">
        <w:t xml:space="preserve">, op de totaliteit van dit verlaagde bedrag worden in de huidige stand van de wetgeving de gewone </w:t>
      </w:r>
      <w:proofErr w:type="spellStart"/>
      <w:r w:rsidRPr="00594DA0">
        <w:t>socialezekerheidsbijdragen</w:t>
      </w:r>
      <w:proofErr w:type="spellEnd"/>
      <w:r w:rsidRPr="00594DA0">
        <w:t xml:space="preserve"> berekend.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842C0"/>
    <w:multiLevelType w:val="hybridMultilevel"/>
    <w:tmpl w:val="6C7C4BCC"/>
    <w:lvl w:ilvl="0" w:tplc="319C7E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7415422"/>
    <w:multiLevelType w:val="hybridMultilevel"/>
    <w:tmpl w:val="FA30AFFC"/>
    <w:lvl w:ilvl="0" w:tplc="9B14C4A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2094979">
    <w:abstractNumId w:val="0"/>
  </w:num>
  <w:num w:numId="2" w16cid:durableId="2055612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2D9"/>
    <w:rsid w:val="0004018B"/>
    <w:rsid w:val="00044C67"/>
    <w:rsid w:val="00052BA3"/>
    <w:rsid w:val="000F455B"/>
    <w:rsid w:val="00107162"/>
    <w:rsid w:val="00107C8C"/>
    <w:rsid w:val="001157C0"/>
    <w:rsid w:val="00144A3E"/>
    <w:rsid w:val="00161E94"/>
    <w:rsid w:val="0017185F"/>
    <w:rsid w:val="001803DA"/>
    <w:rsid w:val="001963A0"/>
    <w:rsid w:val="001A3DA0"/>
    <w:rsid w:val="001A4AE8"/>
    <w:rsid w:val="00204C1F"/>
    <w:rsid w:val="00223C2C"/>
    <w:rsid w:val="00252B75"/>
    <w:rsid w:val="00256B46"/>
    <w:rsid w:val="0026728F"/>
    <w:rsid w:val="002C7992"/>
    <w:rsid w:val="002D64F9"/>
    <w:rsid w:val="003512B1"/>
    <w:rsid w:val="003615DD"/>
    <w:rsid w:val="00372EEF"/>
    <w:rsid w:val="00376A0A"/>
    <w:rsid w:val="00406594"/>
    <w:rsid w:val="0041311F"/>
    <w:rsid w:val="00427B0C"/>
    <w:rsid w:val="00432FC4"/>
    <w:rsid w:val="00446221"/>
    <w:rsid w:val="0046003C"/>
    <w:rsid w:val="00467676"/>
    <w:rsid w:val="004A2BDA"/>
    <w:rsid w:val="004A2EF3"/>
    <w:rsid w:val="004B035B"/>
    <w:rsid w:val="004D1C6B"/>
    <w:rsid w:val="004E01BE"/>
    <w:rsid w:val="004E1FA3"/>
    <w:rsid w:val="004E489F"/>
    <w:rsid w:val="004F5F0E"/>
    <w:rsid w:val="005219BC"/>
    <w:rsid w:val="00542DFE"/>
    <w:rsid w:val="00547DA4"/>
    <w:rsid w:val="005562EA"/>
    <w:rsid w:val="00583AE0"/>
    <w:rsid w:val="00592386"/>
    <w:rsid w:val="00594DA0"/>
    <w:rsid w:val="005E4F2B"/>
    <w:rsid w:val="006026C8"/>
    <w:rsid w:val="00655FDB"/>
    <w:rsid w:val="006B59C1"/>
    <w:rsid w:val="006C2129"/>
    <w:rsid w:val="006C7798"/>
    <w:rsid w:val="006E3740"/>
    <w:rsid w:val="00733329"/>
    <w:rsid w:val="007465C2"/>
    <w:rsid w:val="007473FD"/>
    <w:rsid w:val="007553DE"/>
    <w:rsid w:val="00775062"/>
    <w:rsid w:val="007834E2"/>
    <w:rsid w:val="007B40E2"/>
    <w:rsid w:val="007F0E40"/>
    <w:rsid w:val="007F32D9"/>
    <w:rsid w:val="00826AF6"/>
    <w:rsid w:val="00834F54"/>
    <w:rsid w:val="0083729B"/>
    <w:rsid w:val="00883950"/>
    <w:rsid w:val="008D3345"/>
    <w:rsid w:val="008E76AB"/>
    <w:rsid w:val="008F6500"/>
    <w:rsid w:val="00915975"/>
    <w:rsid w:val="009603F7"/>
    <w:rsid w:val="00962F64"/>
    <w:rsid w:val="00971DFE"/>
    <w:rsid w:val="009A348F"/>
    <w:rsid w:val="00A367A3"/>
    <w:rsid w:val="00A36922"/>
    <w:rsid w:val="00A5224F"/>
    <w:rsid w:val="00A82672"/>
    <w:rsid w:val="00A87CF1"/>
    <w:rsid w:val="00AA33B2"/>
    <w:rsid w:val="00AD2F7C"/>
    <w:rsid w:val="00AF0A9F"/>
    <w:rsid w:val="00AF479E"/>
    <w:rsid w:val="00B53385"/>
    <w:rsid w:val="00B55381"/>
    <w:rsid w:val="00B625C9"/>
    <w:rsid w:val="00B84895"/>
    <w:rsid w:val="00BF22A0"/>
    <w:rsid w:val="00C0315F"/>
    <w:rsid w:val="00C25BEB"/>
    <w:rsid w:val="00C26C7B"/>
    <w:rsid w:val="00C87205"/>
    <w:rsid w:val="00C966F1"/>
    <w:rsid w:val="00CB5828"/>
    <w:rsid w:val="00CD00D6"/>
    <w:rsid w:val="00CD3AD5"/>
    <w:rsid w:val="00D0371A"/>
    <w:rsid w:val="00D54447"/>
    <w:rsid w:val="00D80B7C"/>
    <w:rsid w:val="00DB2EF2"/>
    <w:rsid w:val="00DC219C"/>
    <w:rsid w:val="00DF260D"/>
    <w:rsid w:val="00E245B0"/>
    <w:rsid w:val="00E87A06"/>
    <w:rsid w:val="00E95A4E"/>
    <w:rsid w:val="00EC1F03"/>
    <w:rsid w:val="00EC4DCF"/>
    <w:rsid w:val="00EE7CB5"/>
    <w:rsid w:val="00EF0501"/>
    <w:rsid w:val="00F14EB3"/>
    <w:rsid w:val="00F432B4"/>
    <w:rsid w:val="00F72E5E"/>
    <w:rsid w:val="00F84FEA"/>
    <w:rsid w:val="00FA79D5"/>
    <w:rsid w:val="00FB02E7"/>
    <w:rsid w:val="013B9072"/>
    <w:rsid w:val="30588096"/>
    <w:rsid w:val="399D58F2"/>
    <w:rsid w:val="3F826A4C"/>
    <w:rsid w:val="43D93D58"/>
    <w:rsid w:val="5596E74C"/>
    <w:rsid w:val="5C1CF34D"/>
    <w:rsid w:val="6D631A25"/>
    <w:rsid w:val="7898DB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4B45"/>
  <w15:chartTrackingRefBased/>
  <w15:docId w15:val="{E9D4DCD4-4700-4E3A-A89A-B40595E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32D9"/>
    <w:pPr>
      <w:ind w:left="720"/>
      <w:contextualSpacing/>
    </w:pPr>
  </w:style>
  <w:style w:type="character" w:styleId="Verwijzingopmerking">
    <w:name w:val="annotation reference"/>
    <w:basedOn w:val="Standaardalinea-lettertype"/>
    <w:uiPriority w:val="99"/>
    <w:semiHidden/>
    <w:unhideWhenUsed/>
    <w:rsid w:val="007F32D9"/>
    <w:rPr>
      <w:sz w:val="16"/>
      <w:szCs w:val="16"/>
    </w:rPr>
  </w:style>
  <w:style w:type="paragraph" w:styleId="Tekstopmerking">
    <w:name w:val="annotation text"/>
    <w:basedOn w:val="Standaard"/>
    <w:link w:val="TekstopmerkingChar"/>
    <w:uiPriority w:val="99"/>
    <w:semiHidden/>
    <w:unhideWhenUsed/>
    <w:rsid w:val="007F32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32D9"/>
    <w:rPr>
      <w:sz w:val="20"/>
      <w:szCs w:val="20"/>
    </w:rPr>
  </w:style>
  <w:style w:type="paragraph" w:styleId="Onderwerpvanopmerking">
    <w:name w:val="annotation subject"/>
    <w:basedOn w:val="Tekstopmerking"/>
    <w:next w:val="Tekstopmerking"/>
    <w:link w:val="OnderwerpvanopmerkingChar"/>
    <w:uiPriority w:val="99"/>
    <w:semiHidden/>
    <w:unhideWhenUsed/>
    <w:rsid w:val="007F32D9"/>
    <w:rPr>
      <w:b/>
      <w:bCs/>
    </w:rPr>
  </w:style>
  <w:style w:type="character" w:customStyle="1" w:styleId="OnderwerpvanopmerkingChar">
    <w:name w:val="Onderwerp van opmerking Char"/>
    <w:basedOn w:val="TekstopmerkingChar"/>
    <w:link w:val="Onderwerpvanopmerking"/>
    <w:uiPriority w:val="99"/>
    <w:semiHidden/>
    <w:rsid w:val="007F32D9"/>
    <w:rPr>
      <w:b/>
      <w:bCs/>
      <w:sz w:val="20"/>
      <w:szCs w:val="20"/>
    </w:rPr>
  </w:style>
  <w:style w:type="paragraph" w:styleId="Ballontekst">
    <w:name w:val="Balloon Text"/>
    <w:basedOn w:val="Standaard"/>
    <w:link w:val="BallontekstChar"/>
    <w:uiPriority w:val="99"/>
    <w:semiHidden/>
    <w:unhideWhenUsed/>
    <w:rsid w:val="007F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32D9"/>
    <w:rPr>
      <w:rFonts w:ascii="Segoe UI" w:hAnsi="Segoe UI" w:cs="Segoe UI"/>
      <w:sz w:val="18"/>
      <w:szCs w:val="18"/>
    </w:rPr>
  </w:style>
  <w:style w:type="paragraph" w:styleId="Voetnoottekst">
    <w:name w:val="footnote text"/>
    <w:basedOn w:val="Standaard"/>
    <w:link w:val="VoetnoottekstChar"/>
    <w:uiPriority w:val="99"/>
    <w:semiHidden/>
    <w:unhideWhenUsed/>
    <w:rsid w:val="00594D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4DA0"/>
    <w:rPr>
      <w:sz w:val="20"/>
      <w:szCs w:val="20"/>
    </w:rPr>
  </w:style>
  <w:style w:type="character" w:styleId="Voetnootmarkering">
    <w:name w:val="footnote reference"/>
    <w:basedOn w:val="Standaardalinea-lettertype"/>
    <w:uiPriority w:val="99"/>
    <w:semiHidden/>
    <w:unhideWhenUsed/>
    <w:rsid w:val="00594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a212a750-b772-4cbb-90af-0616f1768c61" xsi:nil="true"/>
    <_dlc_DocId xmlns="a212a750-b772-4cbb-90af-0616f1768c61" xsi:nil="true"/>
    <_dlc_DocIdUrl xmlns="a212a750-b772-4cbb-90af-0616f1768c61">
      <Url xsi:nil="true"/>
      <Description xsi:nil="true"/>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29B2055421804497BD10025B6515DB" ma:contentTypeVersion="16" ma:contentTypeDescription="Een nieuw document maken." ma:contentTypeScope="" ma:versionID="67ea84fa487c74829da6f333188e6a6d">
  <xsd:schema xmlns:xsd="http://www.w3.org/2001/XMLSchema" xmlns:xs="http://www.w3.org/2001/XMLSchema" xmlns:p="http://schemas.microsoft.com/office/2006/metadata/properties" xmlns:ns2="a212a750-b772-4cbb-90af-0616f1768c61" xmlns:ns3="dae07d31-9f43-460c-a585-427363be3ad1" targetNamespace="http://schemas.microsoft.com/office/2006/metadata/properties" ma:root="true" ma:fieldsID="25df12bc1489eb2ed8d1b79d34786234" ns2:_="" ns3:_="">
    <xsd:import namespace="a212a750-b772-4cbb-90af-0616f1768c61"/>
    <xsd:import namespace="dae07d31-9f43-460c-a585-427363be3ad1"/>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a750-b772-4cbb-90af-0616f1768c6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false">
      <xsd:simpleType>
        <xsd:restriction base="dms:Text"/>
      </xsd:simpleType>
    </xsd:element>
    <xsd:element name="_dlc_DocIdUrl" ma:index="9"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7d31-9f43-460c-a585-427363be3ad1"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EE3D-53BE-45D6-9593-EB9BC8FD2E1A}">
  <ds:schemaRefs>
    <ds:schemaRef ds:uri="http://schemas.microsoft.com/office/2006/metadata/properties"/>
    <ds:schemaRef ds:uri="http://schemas.microsoft.com/office/infopath/2007/PartnerControls"/>
    <ds:schemaRef ds:uri="a212a750-b772-4cbb-90af-0616f1768c61"/>
  </ds:schemaRefs>
</ds:datastoreItem>
</file>

<file path=customXml/itemProps2.xml><?xml version="1.0" encoding="utf-8"?>
<ds:datastoreItem xmlns:ds="http://schemas.openxmlformats.org/officeDocument/2006/customXml" ds:itemID="{2F8DB4D3-241C-40E3-82C3-48B826C54909}">
  <ds:schemaRefs>
    <ds:schemaRef ds:uri="http://schemas.openxmlformats.org/officeDocument/2006/bibliography"/>
  </ds:schemaRefs>
</ds:datastoreItem>
</file>

<file path=customXml/itemProps3.xml><?xml version="1.0" encoding="utf-8"?>
<ds:datastoreItem xmlns:ds="http://schemas.openxmlformats.org/officeDocument/2006/customXml" ds:itemID="{6754B31A-F25B-4F29-9E48-3B9C699F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2a750-b772-4cbb-90af-0616f1768c61"/>
    <ds:schemaRef ds:uri="dae07d31-9f43-460c-a585-427363be3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AAF03-45D3-49CE-9AB9-6C55553C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646</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Vanhoutte Lieselot</dc:creator>
  <cp:keywords/>
  <dc:description/>
  <cp:lastModifiedBy>Rob Baeyens</cp:lastModifiedBy>
  <cp:revision>7</cp:revision>
  <dcterms:created xsi:type="dcterms:W3CDTF">2022-07-13T08:10:00Z</dcterms:created>
  <dcterms:modified xsi:type="dcterms:W3CDTF">2022-07-13T08:17:00Z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0x0101002B29B2055421804497BD10025B6515DB</vt:lpwstr>
  </property>
</Properties>
</file>